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X="-10"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1458"/>
        <w:gridCol w:w="5557"/>
        <w:gridCol w:w="1800"/>
      </w:tblGrid>
      <w:tr w:rsidR="00A77BF5" w:rsidRPr="00443AAF" w14:paraId="50FCC8CD" w14:textId="77777777" w:rsidTr="00772261">
        <w:tc>
          <w:tcPr>
            <w:tcW w:w="1458" w:type="dxa"/>
            <w:tcBorders>
              <w:top w:val="single" w:sz="4" w:space="0" w:color="0070C0"/>
              <w:left w:val="single" w:sz="4" w:space="0" w:color="0070C0"/>
              <w:bottom w:val="single" w:sz="4" w:space="0" w:color="0070C0"/>
            </w:tcBorders>
            <w:vAlign w:val="center"/>
          </w:tcPr>
          <w:p w14:paraId="32D3FAE1" w14:textId="77777777" w:rsidR="00A77BF5" w:rsidRPr="00443AAF" w:rsidRDefault="00A77BF5" w:rsidP="00772261">
            <w:pPr>
              <w:ind w:right="-211"/>
              <w:jc w:val="center"/>
              <w:rPr>
                <w:rFonts w:cstheme="minorHAnsi"/>
              </w:rPr>
            </w:pPr>
            <w:bookmarkStart w:id="0" w:name="_Hlk41400779"/>
            <w:bookmarkEnd w:id="0"/>
            <w:r w:rsidRPr="00443AAF">
              <w:rPr>
                <w:rFonts w:cstheme="minorHAnsi"/>
                <w:noProof/>
              </w:rPr>
              <w:drawing>
                <wp:inline distT="0" distB="0" distL="0" distR="0" wp14:anchorId="06CBEB6E" wp14:editId="581385BE">
                  <wp:extent cx="849983" cy="5486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H Logo-only.emf"/>
                          <pic:cNvPicPr/>
                        </pic:nvPicPr>
                        <pic:blipFill>
                          <a:blip r:embed="rId8">
                            <a:extLst>
                              <a:ext uri="{28A0092B-C50C-407E-A947-70E740481C1C}">
                                <a14:useLocalDpi xmlns:a14="http://schemas.microsoft.com/office/drawing/2010/main"/>
                              </a:ext>
                            </a:extLst>
                          </a:blip>
                          <a:stretch>
                            <a:fillRect/>
                          </a:stretch>
                        </pic:blipFill>
                        <pic:spPr>
                          <a:xfrm>
                            <a:off x="0" y="0"/>
                            <a:ext cx="849983" cy="548640"/>
                          </a:xfrm>
                          <a:prstGeom prst="rect">
                            <a:avLst/>
                          </a:prstGeom>
                        </pic:spPr>
                      </pic:pic>
                    </a:graphicData>
                  </a:graphic>
                </wp:inline>
              </w:drawing>
            </w:r>
          </w:p>
        </w:tc>
        <w:tc>
          <w:tcPr>
            <w:tcW w:w="7357" w:type="dxa"/>
            <w:gridSpan w:val="2"/>
            <w:tcBorders>
              <w:top w:val="single" w:sz="4" w:space="0" w:color="0070C0"/>
              <w:bottom w:val="single" w:sz="4" w:space="0" w:color="0070C0"/>
            </w:tcBorders>
            <w:vAlign w:val="center"/>
          </w:tcPr>
          <w:p w14:paraId="094C58F1" w14:textId="77777777" w:rsidR="00A77BF5" w:rsidRPr="00841FA0" w:rsidRDefault="00A77BF5" w:rsidP="00772261">
            <w:pPr>
              <w:spacing w:line="228" w:lineRule="auto"/>
              <w:jc w:val="center"/>
              <w:rPr>
                <w:rFonts w:cstheme="minorHAnsi"/>
                <w:spacing w:val="10"/>
                <w:sz w:val="52"/>
                <w:szCs w:val="52"/>
              </w:rPr>
            </w:pPr>
            <w:r w:rsidRPr="00841FA0">
              <w:rPr>
                <w:rFonts w:cstheme="minorHAnsi"/>
                <w:color w:val="2F5496" w:themeColor="accent5" w:themeShade="BF"/>
                <w:spacing w:val="10"/>
                <w:sz w:val="52"/>
                <w:szCs w:val="52"/>
              </w:rPr>
              <w:t>TECHNOLOGY TRANSFER COMMUNITY NEWSLETTER</w:t>
            </w:r>
          </w:p>
        </w:tc>
      </w:tr>
      <w:tr w:rsidR="00A77BF5" w:rsidRPr="00443AAF" w14:paraId="2C13B84F" w14:textId="77777777" w:rsidTr="00772261">
        <w:trPr>
          <w:trHeight w:val="144"/>
        </w:trPr>
        <w:tc>
          <w:tcPr>
            <w:tcW w:w="1458" w:type="dxa"/>
            <w:tcBorders>
              <w:top w:val="single" w:sz="4" w:space="0" w:color="0070C0"/>
            </w:tcBorders>
            <w:vAlign w:val="center"/>
          </w:tcPr>
          <w:p w14:paraId="0CB0439B" w14:textId="77777777" w:rsidR="00A77BF5" w:rsidRPr="00443AAF" w:rsidRDefault="00A77BF5" w:rsidP="00772261">
            <w:pPr>
              <w:jc w:val="center"/>
              <w:rPr>
                <w:rFonts w:cstheme="minorHAnsi"/>
                <w:noProof/>
              </w:rPr>
            </w:pPr>
          </w:p>
        </w:tc>
        <w:tc>
          <w:tcPr>
            <w:tcW w:w="5557" w:type="dxa"/>
            <w:vAlign w:val="center"/>
          </w:tcPr>
          <w:p w14:paraId="611E50B2" w14:textId="77777777" w:rsidR="00A77BF5" w:rsidRPr="00443AAF" w:rsidRDefault="00A77BF5" w:rsidP="00772261">
            <w:pPr>
              <w:jc w:val="right"/>
              <w:rPr>
                <w:rFonts w:cstheme="minorHAnsi"/>
              </w:rPr>
            </w:pPr>
          </w:p>
        </w:tc>
        <w:tc>
          <w:tcPr>
            <w:tcW w:w="1800" w:type="dxa"/>
            <w:tcBorders>
              <w:top w:val="single" w:sz="4" w:space="0" w:color="0070C0"/>
              <w:left w:val="nil"/>
              <w:bottom w:val="single" w:sz="4" w:space="0" w:color="0070C0"/>
              <w:right w:val="single" w:sz="4" w:space="0" w:color="0070C0"/>
            </w:tcBorders>
            <w:noWrap/>
            <w:tcMar>
              <w:top w:w="0" w:type="dxa"/>
              <w:left w:w="0" w:type="dxa"/>
              <w:bottom w:w="0" w:type="dxa"/>
            </w:tcMar>
            <w:vAlign w:val="center"/>
          </w:tcPr>
          <w:p w14:paraId="630AB020" w14:textId="04265729" w:rsidR="00A77BF5" w:rsidRPr="00443AAF" w:rsidRDefault="00841FA0" w:rsidP="00841FA0">
            <w:pPr>
              <w:ind w:left="-450" w:right="-54"/>
              <w:jc w:val="center"/>
              <w:rPr>
                <w:rFonts w:cstheme="minorHAnsi"/>
                <w:color w:val="00B050"/>
                <w:sz w:val="26"/>
                <w:szCs w:val="26"/>
              </w:rPr>
            </w:pPr>
            <w:r>
              <w:rPr>
                <w:rFonts w:cstheme="minorHAnsi"/>
                <w:color w:val="2F5496" w:themeColor="accent5" w:themeShade="BF"/>
                <w:sz w:val="26"/>
                <w:szCs w:val="26"/>
              </w:rPr>
              <w:t xml:space="preserve">        </w:t>
            </w:r>
            <w:r w:rsidR="007C4475">
              <w:rPr>
                <w:rFonts w:cstheme="minorHAnsi"/>
                <w:color w:val="2F5496" w:themeColor="accent5" w:themeShade="BF"/>
                <w:sz w:val="26"/>
                <w:szCs w:val="26"/>
              </w:rPr>
              <w:t xml:space="preserve">April </w:t>
            </w:r>
            <w:r w:rsidR="00A77BF5" w:rsidRPr="00443AAF">
              <w:rPr>
                <w:rFonts w:cstheme="minorHAnsi"/>
                <w:color w:val="2F5496" w:themeColor="accent5" w:themeShade="BF"/>
                <w:sz w:val="26"/>
                <w:szCs w:val="26"/>
              </w:rPr>
              <w:t xml:space="preserve"> 20</w:t>
            </w:r>
            <w:r w:rsidR="00E019FE">
              <w:rPr>
                <w:rFonts w:cstheme="minorHAnsi"/>
                <w:color w:val="2F5496" w:themeColor="accent5" w:themeShade="BF"/>
                <w:sz w:val="26"/>
                <w:szCs w:val="26"/>
              </w:rPr>
              <w:t>20</w:t>
            </w:r>
          </w:p>
        </w:tc>
      </w:tr>
    </w:tbl>
    <w:p w14:paraId="7C223E6B" w14:textId="5018D9F6" w:rsidR="004554AE" w:rsidRDefault="00E902EF" w:rsidP="00E019FE">
      <w:pPr>
        <w:rPr>
          <w:rFonts w:cstheme="minorHAnsi"/>
          <w:noProof/>
          <w:sz w:val="13"/>
        </w:rPr>
      </w:pPr>
      <w:r w:rsidRPr="00CD3727">
        <w:rPr>
          <w:rFonts w:cstheme="minorHAnsi"/>
          <w:noProof/>
          <w:sz w:val="13"/>
        </w:rPr>
        <w:drawing>
          <wp:anchor distT="0" distB="0" distL="45720" distR="0" simplePos="0" relativeHeight="251657216" behindDoc="1" locked="0" layoutInCell="1" allowOverlap="1" wp14:anchorId="7FFEBF5C" wp14:editId="66798083">
            <wp:simplePos x="0" y="0"/>
            <wp:positionH relativeFrom="column">
              <wp:posOffset>5645150</wp:posOffset>
            </wp:positionH>
            <wp:positionV relativeFrom="page">
              <wp:posOffset>251460</wp:posOffset>
            </wp:positionV>
            <wp:extent cx="968375" cy="1988820"/>
            <wp:effectExtent l="0" t="0" r="3175" b="0"/>
            <wp:wrapTight wrapText="bothSides">
              <wp:wrapPolygon edited="0">
                <wp:start x="7224" y="0"/>
                <wp:lineTo x="4674" y="414"/>
                <wp:lineTo x="0" y="2690"/>
                <wp:lineTo x="0" y="4345"/>
                <wp:lineTo x="3399" y="6828"/>
                <wp:lineTo x="4249" y="10138"/>
                <wp:lineTo x="1275" y="12207"/>
                <wp:lineTo x="1275" y="14069"/>
                <wp:lineTo x="5099" y="16759"/>
                <wp:lineTo x="4249" y="19448"/>
                <wp:lineTo x="5949" y="20069"/>
                <wp:lineTo x="13597" y="21310"/>
                <wp:lineTo x="19971" y="21310"/>
                <wp:lineTo x="10623" y="20069"/>
                <wp:lineTo x="21246" y="19862"/>
                <wp:lineTo x="21246" y="16759"/>
                <wp:lineTo x="15722" y="13448"/>
                <wp:lineTo x="21246" y="13241"/>
                <wp:lineTo x="21246" y="12828"/>
                <wp:lineTo x="18696" y="10138"/>
                <wp:lineTo x="21246" y="9517"/>
                <wp:lineTo x="21246" y="9103"/>
                <wp:lineTo x="19971" y="6828"/>
                <wp:lineTo x="21246" y="3517"/>
                <wp:lineTo x="16572" y="3517"/>
                <wp:lineTo x="19546" y="2483"/>
                <wp:lineTo x="17847" y="414"/>
                <wp:lineTo x="8923" y="0"/>
                <wp:lineTo x="722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ue.png"/>
                    <pic:cNvPicPr/>
                  </pic:nvPicPr>
                  <pic:blipFill>
                    <a:blip r:embed="rId9" cstate="screen">
                      <a:extLst>
                        <a:ext uri="{28A0092B-C50C-407E-A947-70E740481C1C}">
                          <a14:useLocalDpi xmlns:a14="http://schemas.microsoft.com/office/drawing/2010/main"/>
                        </a:ext>
                      </a:extLst>
                    </a:blip>
                    <a:stretch>
                      <a:fillRect/>
                    </a:stretch>
                  </pic:blipFill>
                  <pic:spPr>
                    <a:xfrm>
                      <a:off x="0" y="0"/>
                      <a:ext cx="968375" cy="1988820"/>
                    </a:xfrm>
                    <a:prstGeom prst="rect">
                      <a:avLst/>
                    </a:prstGeom>
                  </pic:spPr>
                </pic:pic>
              </a:graphicData>
            </a:graphic>
            <wp14:sizeRelH relativeFrom="margin">
              <wp14:pctWidth>0</wp14:pctWidth>
            </wp14:sizeRelH>
            <wp14:sizeRelV relativeFrom="margin">
              <wp14:pctHeight>0</wp14:pctHeight>
            </wp14:sizeRelV>
          </wp:anchor>
        </w:drawing>
      </w:r>
    </w:p>
    <w:p w14:paraId="313CE04C" w14:textId="2B00931F" w:rsidR="00612E37" w:rsidRDefault="00612E37" w:rsidP="00E019FE">
      <w:pPr>
        <w:rPr>
          <w:rFonts w:cstheme="minorHAnsi"/>
          <w:sz w:val="13"/>
        </w:rPr>
      </w:pPr>
    </w:p>
    <w:tbl>
      <w:tblPr>
        <w:tblStyle w:val="TableGrid"/>
        <w:tblpPr w:leftFromText="180" w:rightFromText="180" w:vertAnchor="text" w:horzAnchor="margin" w:tblpY="-39"/>
        <w:tblW w:w="1033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516"/>
        <w:gridCol w:w="9815"/>
      </w:tblGrid>
      <w:tr w:rsidR="00A441A1" w:rsidRPr="00443AAF" w14:paraId="1A5C7889" w14:textId="77777777" w:rsidTr="001065DE">
        <w:trPr>
          <w:cantSplit/>
          <w:trHeight w:val="10700"/>
        </w:trPr>
        <w:tc>
          <w:tcPr>
            <w:tcW w:w="516" w:type="dxa"/>
            <w:shd w:val="clear" w:color="auto" w:fill="5B9BD5" w:themeFill="accent1"/>
            <w:tcMar>
              <w:left w:w="0" w:type="dxa"/>
              <w:right w:w="0" w:type="dxa"/>
            </w:tcMar>
            <w:textDirection w:val="btLr"/>
          </w:tcPr>
          <w:p w14:paraId="1EA266DF" w14:textId="12E8D1FA" w:rsidR="00A441A1" w:rsidRPr="00443AAF" w:rsidRDefault="00A441A1" w:rsidP="00A441A1">
            <w:pPr>
              <w:pStyle w:val="Heading1"/>
              <w:framePr w:hSpace="0" w:wrap="auto" w:vAnchor="margin" w:hAnchor="text" w:yAlign="inline"/>
              <w:outlineLvl w:val="0"/>
              <w:rPr>
                <w:rFonts w:asciiTheme="minorHAnsi" w:hAnsiTheme="minorHAnsi" w:cstheme="minorHAnsi"/>
              </w:rPr>
            </w:pPr>
            <w:bookmarkStart w:id="1" w:name="_Toc32497429"/>
            <w:r>
              <w:rPr>
                <w:rFonts w:asciiTheme="minorHAnsi" w:hAnsiTheme="minorHAnsi" w:cstheme="minorHAnsi"/>
              </w:rPr>
              <w:t>N</w:t>
            </w:r>
            <w:bookmarkEnd w:id="1"/>
            <w:r w:rsidR="0016207A">
              <w:rPr>
                <w:rFonts w:ascii="Calibri" w:hAnsi="Calibri" w:cs="Calibri"/>
                <w:bCs/>
              </w:rPr>
              <w:t xml:space="preserve">IAID TTIPO Seminar </w:t>
            </w:r>
            <w:r w:rsidR="008C1014">
              <w:rPr>
                <w:rFonts w:ascii="Calibri" w:hAnsi="Calibri" w:cs="Calibri"/>
                <w:bCs/>
              </w:rPr>
              <w:t>Features</w:t>
            </w:r>
            <w:r w:rsidR="0016207A" w:rsidRPr="00D55677">
              <w:rPr>
                <w:rFonts w:ascii="Calibri" w:hAnsi="Calibri" w:cs="Calibri"/>
                <w:bCs/>
              </w:rPr>
              <w:t xml:space="preserve"> First Director of OTT</w:t>
            </w:r>
          </w:p>
        </w:tc>
        <w:tc>
          <w:tcPr>
            <w:tcW w:w="9815" w:type="dxa"/>
          </w:tcPr>
          <w:p w14:paraId="57514763" w14:textId="5AF64368" w:rsidR="00A441A1" w:rsidRPr="001B25A7" w:rsidRDefault="004554AE" w:rsidP="00A441A1">
            <w:pPr>
              <w:pStyle w:val="Heading2"/>
              <w:ind w:right="114"/>
              <w:outlineLvl w:val="1"/>
              <w:rPr>
                <w:rFonts w:asciiTheme="minorHAnsi" w:hAnsiTheme="minorHAnsi" w:cstheme="minorHAnsi"/>
                <w:b/>
                <w:sz w:val="36"/>
                <w:szCs w:val="36"/>
              </w:rPr>
            </w:pPr>
            <w:r w:rsidRPr="001B25A7">
              <w:rPr>
                <w:rFonts w:asciiTheme="minorHAnsi" w:hAnsiTheme="minorHAnsi" w:cstheme="minorHAnsi"/>
                <w:b/>
                <w:sz w:val="36"/>
                <w:szCs w:val="36"/>
              </w:rPr>
              <w:t>Reid Adler - The First Director of OTT</w:t>
            </w:r>
          </w:p>
          <w:p w14:paraId="4144E422" w14:textId="43581271" w:rsidR="004554AE" w:rsidRPr="007870EF" w:rsidRDefault="007870EF" w:rsidP="007870EF">
            <w:pPr>
              <w:pStyle w:val="Subtitle"/>
              <w:framePr w:hSpace="0" w:wrap="auto" w:vAnchor="margin" w:hAnchor="text" w:yAlign="inline"/>
              <w:ind w:right="114"/>
              <w:rPr>
                <w:rFonts w:asciiTheme="minorHAnsi" w:hAnsiTheme="minorHAnsi" w:cstheme="minorHAnsi"/>
              </w:rPr>
            </w:pPr>
            <w:r>
              <w:rPr>
                <w:noProof/>
              </w:rPr>
              <w:drawing>
                <wp:anchor distT="0" distB="0" distL="114300" distR="114300" simplePos="0" relativeHeight="251789312" behindDoc="0" locked="0" layoutInCell="1" allowOverlap="1" wp14:anchorId="25E840A5" wp14:editId="2F837341">
                  <wp:simplePos x="0" y="0"/>
                  <wp:positionH relativeFrom="column">
                    <wp:posOffset>4748530</wp:posOffset>
                  </wp:positionH>
                  <wp:positionV relativeFrom="paragraph">
                    <wp:posOffset>265430</wp:posOffset>
                  </wp:positionV>
                  <wp:extent cx="1240790" cy="1511300"/>
                  <wp:effectExtent l="0" t="0" r="0" b="0"/>
                  <wp:wrapThrough wrapText="bothSides">
                    <wp:wrapPolygon edited="0">
                      <wp:start x="0" y="0"/>
                      <wp:lineTo x="0" y="21237"/>
                      <wp:lineTo x="21224" y="21237"/>
                      <wp:lineTo x="21224" y="0"/>
                      <wp:lineTo x="0" y="0"/>
                    </wp:wrapPolygon>
                  </wp:wrapThrough>
                  <wp:docPr id="55" name="Picture 55" descr="Image result for reid adler NI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reid adler NIAI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240790" cy="1511300"/>
                          </a:xfrm>
                          <a:prstGeom prst="rect">
                            <a:avLst/>
                          </a:prstGeom>
                          <a:noFill/>
                          <a:ln>
                            <a:noFill/>
                          </a:ln>
                        </pic:spPr>
                      </pic:pic>
                    </a:graphicData>
                  </a:graphic>
                </wp:anchor>
              </w:drawing>
            </w:r>
            <w:r w:rsidR="004554AE">
              <w:rPr>
                <w:rFonts w:asciiTheme="minorHAnsi" w:hAnsiTheme="minorHAnsi" w:cstheme="minorHAnsi"/>
              </w:rPr>
              <w:t>Jasmine Kalsi, NIAID</w:t>
            </w:r>
          </w:p>
          <w:p w14:paraId="7E276D1E" w14:textId="321988C8" w:rsidR="004554AE" w:rsidRDefault="004554AE" w:rsidP="001065DE">
            <w:pPr>
              <w:rPr>
                <w:rFonts w:cstheme="minorHAnsi"/>
              </w:rPr>
            </w:pPr>
            <w:r w:rsidRPr="007E75FB">
              <w:rPr>
                <w:rFonts w:cstheme="minorHAnsi"/>
              </w:rPr>
              <w:t xml:space="preserve">The attendees of the </w:t>
            </w:r>
            <w:r w:rsidR="007870EF">
              <w:rPr>
                <w:rFonts w:cstheme="minorHAnsi"/>
              </w:rPr>
              <w:t xml:space="preserve">NIAID </w:t>
            </w:r>
            <w:r w:rsidRPr="007E75FB">
              <w:rPr>
                <w:rFonts w:cstheme="minorHAnsi"/>
              </w:rPr>
              <w:t xml:space="preserve">TTIPO forum on February </w:t>
            </w:r>
            <w:r w:rsidR="007870EF">
              <w:rPr>
                <w:rFonts w:cstheme="minorHAnsi"/>
              </w:rPr>
              <w:t xml:space="preserve">27, </w:t>
            </w:r>
            <w:r w:rsidRPr="007E75FB">
              <w:rPr>
                <w:rFonts w:cstheme="minorHAnsi"/>
              </w:rPr>
              <w:t>2020</w:t>
            </w:r>
            <w:r>
              <w:rPr>
                <w:rFonts w:cstheme="minorHAnsi"/>
              </w:rPr>
              <w:t xml:space="preserve">, </w:t>
            </w:r>
            <w:r w:rsidRPr="007E75FB">
              <w:rPr>
                <w:rFonts w:cstheme="minorHAnsi"/>
              </w:rPr>
              <w:t xml:space="preserve">got a glimpse into the “land before time” through a conversation with Reid Adler, an early architect of NIH Technology Transfer. </w:t>
            </w:r>
            <w:r>
              <w:rPr>
                <w:rFonts w:cstheme="minorHAnsi"/>
              </w:rPr>
              <w:t xml:space="preserve">Senior NIH TT staff, </w:t>
            </w:r>
            <w:r w:rsidRPr="007E75FB">
              <w:rPr>
                <w:rFonts w:cstheme="minorHAnsi"/>
              </w:rPr>
              <w:t>like Steven Ferguson, Richard Lambert</w:t>
            </w:r>
            <w:r>
              <w:rPr>
                <w:rFonts w:cstheme="minorHAnsi"/>
              </w:rPr>
              <w:t>,</w:t>
            </w:r>
            <w:r w:rsidRPr="007E75FB">
              <w:rPr>
                <w:rFonts w:cstheme="minorHAnsi"/>
              </w:rPr>
              <w:t xml:space="preserve"> </w:t>
            </w:r>
            <w:r>
              <w:rPr>
                <w:rFonts w:cstheme="minorHAnsi"/>
              </w:rPr>
              <w:t xml:space="preserve">Mukul Ranjan, </w:t>
            </w:r>
            <w:r w:rsidRPr="007E75FB">
              <w:rPr>
                <w:rFonts w:cstheme="minorHAnsi"/>
              </w:rPr>
              <w:t>Mark Rohrbaugh</w:t>
            </w:r>
            <w:r>
              <w:rPr>
                <w:rFonts w:cstheme="minorHAnsi"/>
              </w:rPr>
              <w:t xml:space="preserve"> and </w:t>
            </w:r>
            <w:r w:rsidRPr="007E75FB">
              <w:rPr>
                <w:rFonts w:cstheme="minorHAnsi"/>
              </w:rPr>
              <w:t>Mike Mowatt</w:t>
            </w:r>
            <w:r>
              <w:rPr>
                <w:rFonts w:cstheme="minorHAnsi"/>
              </w:rPr>
              <w:t>, joined in the lively conversation.</w:t>
            </w:r>
            <w:r w:rsidRPr="007E75FB">
              <w:rPr>
                <w:rFonts w:cstheme="minorHAnsi"/>
              </w:rPr>
              <w:t xml:space="preserve">  In a fireside</w:t>
            </w:r>
            <w:r>
              <w:rPr>
                <w:rFonts w:cstheme="minorHAnsi"/>
              </w:rPr>
              <w:t>-</w:t>
            </w:r>
            <w:r w:rsidRPr="007E75FB">
              <w:rPr>
                <w:rFonts w:cstheme="minorHAnsi"/>
              </w:rPr>
              <w:t xml:space="preserve">style chat, we </w:t>
            </w:r>
            <w:r>
              <w:rPr>
                <w:rFonts w:cstheme="minorHAnsi"/>
              </w:rPr>
              <w:t>listened as</w:t>
            </w:r>
            <w:r w:rsidRPr="007E75FB">
              <w:rPr>
                <w:rFonts w:cstheme="minorHAnsi"/>
              </w:rPr>
              <w:t xml:space="preserve"> Reid</w:t>
            </w:r>
            <w:r>
              <w:rPr>
                <w:rFonts w:cstheme="minorHAnsi"/>
              </w:rPr>
              <w:t xml:space="preserve"> and the group</w:t>
            </w:r>
            <w:r w:rsidRPr="007E75FB">
              <w:rPr>
                <w:rFonts w:cstheme="minorHAnsi"/>
              </w:rPr>
              <w:t xml:space="preserve"> share</w:t>
            </w:r>
            <w:r>
              <w:rPr>
                <w:rFonts w:cstheme="minorHAnsi"/>
              </w:rPr>
              <w:t>d</w:t>
            </w:r>
            <w:r w:rsidRPr="007E75FB">
              <w:rPr>
                <w:rFonts w:cstheme="minorHAnsi"/>
              </w:rPr>
              <w:t xml:space="preserve"> stories from </w:t>
            </w:r>
            <w:r>
              <w:rPr>
                <w:rFonts w:cstheme="minorHAnsi"/>
              </w:rPr>
              <w:t>the earliest days of NIH technology transfer</w:t>
            </w:r>
            <w:r w:rsidRPr="007E75FB">
              <w:rPr>
                <w:rFonts w:cstheme="minorHAnsi"/>
              </w:rPr>
              <w:t xml:space="preserve">. </w:t>
            </w:r>
          </w:p>
          <w:p w14:paraId="18A12418" w14:textId="77777777" w:rsidR="008C1014" w:rsidRPr="008C1014" w:rsidRDefault="008C1014" w:rsidP="004554AE">
            <w:pPr>
              <w:jc w:val="both"/>
              <w:rPr>
                <w:rFonts w:cstheme="minorHAnsi"/>
                <w:sz w:val="16"/>
                <w:szCs w:val="16"/>
              </w:rPr>
            </w:pPr>
          </w:p>
          <w:p w14:paraId="5368A688" w14:textId="3ED49C7F" w:rsidR="004554AE" w:rsidRDefault="004554AE" w:rsidP="004554AE">
            <w:pPr>
              <w:rPr>
                <w:rFonts w:cstheme="minorHAnsi"/>
              </w:rPr>
            </w:pPr>
            <w:r w:rsidRPr="007E75FB">
              <w:rPr>
                <w:rFonts w:cstheme="minorHAnsi"/>
              </w:rPr>
              <w:t xml:space="preserve">Reid Adler was the first permanent director of the NIH Office of Technology Transfer. He worked closely with the esteemed Dr. Philip S. Chen, Jr., who served as an acting director before Reid took over. </w:t>
            </w:r>
            <w:r w:rsidR="001065DE">
              <w:rPr>
                <w:rFonts w:cstheme="minorHAnsi"/>
              </w:rPr>
              <w:t xml:space="preserve"> </w:t>
            </w:r>
            <w:r w:rsidRPr="007E75FB">
              <w:rPr>
                <w:rFonts w:cstheme="minorHAnsi"/>
              </w:rPr>
              <w:t xml:space="preserve">Under Reid’s leadership, the Office of Invention Development (OID), as it was called then, merged with the patent branch of the Office of General Council (OCG) to form OTT. </w:t>
            </w:r>
            <w:r w:rsidR="001065DE">
              <w:rPr>
                <w:rFonts w:cstheme="minorHAnsi"/>
              </w:rPr>
              <w:t xml:space="preserve"> </w:t>
            </w:r>
            <w:r w:rsidRPr="007E75FB">
              <w:rPr>
                <w:rFonts w:cstheme="minorHAnsi"/>
              </w:rPr>
              <w:t>Reid was a</w:t>
            </w:r>
            <w:r w:rsidR="009442F1">
              <w:rPr>
                <w:rFonts w:cstheme="minorHAnsi"/>
              </w:rPr>
              <w:t>lso a</w:t>
            </w:r>
            <w:r w:rsidRPr="007E75FB">
              <w:rPr>
                <w:rFonts w:cstheme="minorHAnsi"/>
              </w:rPr>
              <w:t>ble to transfer licensing and foreign patenting authority to the NIH</w:t>
            </w:r>
            <w:r>
              <w:rPr>
                <w:rFonts w:cstheme="minorHAnsi"/>
              </w:rPr>
              <w:t xml:space="preserve"> from</w:t>
            </w:r>
            <w:r w:rsidRPr="007E75FB">
              <w:rPr>
                <w:rFonts w:cstheme="minorHAnsi"/>
              </w:rPr>
              <w:t xml:space="preserve"> the Department of Commerce. Working with the Technology Transfer Policy Board (TTPB), he expanded patenting</w:t>
            </w:r>
            <w:r w:rsidR="009442F1">
              <w:rPr>
                <w:rFonts w:cstheme="minorHAnsi"/>
              </w:rPr>
              <w:t xml:space="preserve"> and licensing work</w:t>
            </w:r>
            <w:r w:rsidRPr="007E75FB">
              <w:rPr>
                <w:rFonts w:cstheme="minorHAnsi"/>
              </w:rPr>
              <w:t xml:space="preserve"> to include the FDA and CDC</w:t>
            </w:r>
            <w:r w:rsidR="001065DE">
              <w:rPr>
                <w:rFonts w:cstheme="minorHAnsi"/>
              </w:rPr>
              <w:t xml:space="preserve"> and</w:t>
            </w:r>
            <w:r w:rsidRPr="007E75FB">
              <w:rPr>
                <w:rFonts w:cstheme="minorHAnsi"/>
              </w:rPr>
              <w:t xml:space="preserve"> developed a delegation of authority policy at NIH to allow signatory authority to be delegated down the chain of command. </w:t>
            </w:r>
            <w:r w:rsidR="001065DE">
              <w:rPr>
                <w:rFonts w:cstheme="minorHAnsi"/>
              </w:rPr>
              <w:t xml:space="preserve"> </w:t>
            </w:r>
            <w:r w:rsidRPr="007E75FB">
              <w:rPr>
                <w:rFonts w:cstheme="minorHAnsi"/>
              </w:rPr>
              <w:t xml:space="preserve">Before this, all agreements </w:t>
            </w:r>
            <w:r w:rsidR="008C1014">
              <w:rPr>
                <w:rFonts w:cstheme="minorHAnsi"/>
              </w:rPr>
              <w:t>were</w:t>
            </w:r>
            <w:r w:rsidRPr="007E75FB">
              <w:rPr>
                <w:rFonts w:cstheme="minorHAnsi"/>
              </w:rPr>
              <w:t xml:space="preserve"> signed by the NIH </w:t>
            </w:r>
            <w:r w:rsidR="008C1014">
              <w:rPr>
                <w:rFonts w:cstheme="minorHAnsi"/>
              </w:rPr>
              <w:t>D</w:t>
            </w:r>
            <w:r w:rsidRPr="007E75FB">
              <w:rPr>
                <w:rFonts w:cstheme="minorHAnsi"/>
              </w:rPr>
              <w:t xml:space="preserve">irector, an inefficient task then and surely </w:t>
            </w:r>
            <w:r>
              <w:rPr>
                <w:rFonts w:cstheme="minorHAnsi"/>
              </w:rPr>
              <w:t xml:space="preserve">an </w:t>
            </w:r>
            <w:r w:rsidRPr="007E75FB">
              <w:rPr>
                <w:rFonts w:cstheme="minorHAnsi"/>
              </w:rPr>
              <w:t>impossible one today</w:t>
            </w:r>
            <w:r w:rsidR="007870EF">
              <w:rPr>
                <w:rFonts w:cstheme="minorHAnsi"/>
              </w:rPr>
              <w:t>.</w:t>
            </w:r>
          </w:p>
          <w:p w14:paraId="33AA486A" w14:textId="26A8EC71" w:rsidR="004554AE" w:rsidRPr="008C1014" w:rsidRDefault="004554AE" w:rsidP="004554AE">
            <w:pPr>
              <w:rPr>
                <w:rFonts w:cstheme="minorHAnsi"/>
                <w:sz w:val="16"/>
                <w:szCs w:val="16"/>
              </w:rPr>
            </w:pPr>
          </w:p>
          <w:p w14:paraId="3914C888" w14:textId="1CED2C02" w:rsidR="007870EF" w:rsidRDefault="004554AE" w:rsidP="009442F1">
            <w:pPr>
              <w:rPr>
                <w:rFonts w:cstheme="minorHAnsi"/>
              </w:rPr>
            </w:pPr>
            <w:r w:rsidRPr="007E75FB">
              <w:rPr>
                <w:rFonts w:cstheme="minorHAnsi"/>
              </w:rPr>
              <w:t xml:space="preserve">The </w:t>
            </w:r>
            <w:r w:rsidR="009442F1">
              <w:rPr>
                <w:rFonts w:cstheme="minorHAnsi"/>
              </w:rPr>
              <w:t xml:space="preserve">model </w:t>
            </w:r>
            <w:r>
              <w:rPr>
                <w:rFonts w:cstheme="minorHAnsi"/>
              </w:rPr>
              <w:t>a</w:t>
            </w:r>
            <w:r w:rsidRPr="007E75FB">
              <w:rPr>
                <w:rFonts w:cstheme="minorHAnsi"/>
              </w:rPr>
              <w:t xml:space="preserve">greements that we take for granted today are all based on the templates developed under Reid’s guidance. He created the very first Biological Material and Internal Use License Agreement templates and led the development and negotiation of the very first CRADA. Even our central database, TechTracS, is a descendant of the very first Information Tracking System (ITS) which was internalized under Reid’s guidance.  </w:t>
            </w:r>
            <w:r w:rsidR="008C1014" w:rsidRPr="007E75FB">
              <w:rPr>
                <w:rFonts w:cstheme="minorHAnsi"/>
              </w:rPr>
              <w:t xml:space="preserve">Reid’s </w:t>
            </w:r>
            <w:r w:rsidR="008C1014">
              <w:rPr>
                <w:rFonts w:cstheme="minorHAnsi"/>
              </w:rPr>
              <w:t xml:space="preserve">impact </w:t>
            </w:r>
            <w:r w:rsidR="008C1014" w:rsidRPr="007E75FB">
              <w:rPr>
                <w:rFonts w:cstheme="minorHAnsi"/>
              </w:rPr>
              <w:t>goes beyond building the NIH Technology Transfer</w:t>
            </w:r>
            <w:r w:rsidR="008C1014">
              <w:rPr>
                <w:rFonts w:cstheme="minorHAnsi"/>
              </w:rPr>
              <w:t xml:space="preserve"> Program as the original tech transfer course at the FAES Graduate School </w:t>
            </w:r>
            <w:r w:rsidR="008C1014" w:rsidRPr="007E75FB">
              <w:rPr>
                <w:rFonts w:cstheme="minorHAnsi"/>
              </w:rPr>
              <w:t>was the brainchild of Reid</w:t>
            </w:r>
            <w:r w:rsidR="001065DE">
              <w:rPr>
                <w:rFonts w:cstheme="minorHAnsi"/>
              </w:rPr>
              <w:t xml:space="preserve"> </w:t>
            </w:r>
            <w:r w:rsidR="008C1014" w:rsidRPr="007E75FB">
              <w:rPr>
                <w:rFonts w:cstheme="minorHAnsi"/>
              </w:rPr>
              <w:t>and he served as the original faculty member of that course for several years.</w:t>
            </w:r>
          </w:p>
          <w:p w14:paraId="45B89B80" w14:textId="77777777" w:rsidR="007870EF" w:rsidRPr="008C1014" w:rsidRDefault="007870EF" w:rsidP="004554AE">
            <w:pPr>
              <w:jc w:val="both"/>
              <w:rPr>
                <w:rFonts w:cstheme="minorHAnsi"/>
                <w:sz w:val="16"/>
                <w:szCs w:val="16"/>
              </w:rPr>
            </w:pPr>
          </w:p>
          <w:p w14:paraId="1DE90629" w14:textId="795F429B" w:rsidR="007870EF" w:rsidRPr="007E75FB" w:rsidRDefault="009442F1" w:rsidP="004554AE">
            <w:pPr>
              <w:jc w:val="both"/>
              <w:rPr>
                <w:rFonts w:cstheme="minorHAnsi"/>
              </w:rPr>
            </w:pPr>
            <w:r>
              <w:rPr>
                <w:rFonts w:ascii="Arial" w:hAnsi="Arial" w:cs="Arial"/>
                <w:noProof/>
                <w:color w:val="44546A"/>
                <w:sz w:val="20"/>
                <w:szCs w:val="20"/>
              </w:rPr>
              <w:t xml:space="preserve">         </w:t>
            </w:r>
            <w:r w:rsidR="007870EF">
              <w:rPr>
                <w:rFonts w:ascii="Arial" w:hAnsi="Arial" w:cs="Arial"/>
                <w:noProof/>
                <w:color w:val="44546A"/>
                <w:sz w:val="20"/>
                <w:szCs w:val="20"/>
              </w:rPr>
              <w:drawing>
                <wp:inline distT="0" distB="0" distL="0" distR="0" wp14:anchorId="3BE8C1E0" wp14:editId="6B627D46">
                  <wp:extent cx="5174431" cy="154686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cstate="screen">
                            <a:extLst>
                              <a:ext uri="{28A0092B-C50C-407E-A947-70E740481C1C}">
                                <a14:useLocalDpi xmlns:a14="http://schemas.microsoft.com/office/drawing/2010/main"/>
                              </a:ext>
                            </a:extLst>
                          </a:blip>
                          <a:srcRect/>
                          <a:stretch/>
                        </pic:blipFill>
                        <pic:spPr bwMode="auto">
                          <a:xfrm>
                            <a:off x="0" y="0"/>
                            <a:ext cx="5177702" cy="1547838"/>
                          </a:xfrm>
                          <a:prstGeom prst="rect">
                            <a:avLst/>
                          </a:prstGeom>
                          <a:noFill/>
                          <a:ln>
                            <a:noFill/>
                          </a:ln>
                          <a:extLst>
                            <a:ext uri="{53640926-AAD7-44D8-BBD7-CCE9431645EC}">
                              <a14:shadowObscured xmlns:a14="http://schemas.microsoft.com/office/drawing/2010/main"/>
                            </a:ext>
                          </a:extLst>
                        </pic:spPr>
                      </pic:pic>
                    </a:graphicData>
                  </a:graphic>
                </wp:inline>
              </w:drawing>
            </w:r>
          </w:p>
          <w:p w14:paraId="44AEF1AB" w14:textId="77777777" w:rsidR="009442F1" w:rsidRPr="00D914E8" w:rsidRDefault="009442F1" w:rsidP="009442F1">
            <w:pPr>
              <w:jc w:val="center"/>
              <w:rPr>
                <w:rFonts w:cstheme="minorHAnsi"/>
                <w:b/>
                <w:bCs/>
                <w:sz w:val="16"/>
                <w:szCs w:val="16"/>
              </w:rPr>
            </w:pPr>
            <w:bookmarkStart w:id="2" w:name="_Hlk41335337"/>
            <w:r w:rsidRPr="00D914E8">
              <w:rPr>
                <w:rFonts w:cstheme="minorHAnsi"/>
                <w:b/>
                <w:bCs/>
                <w:sz w:val="16"/>
                <w:szCs w:val="16"/>
              </w:rPr>
              <w:t>L to R: Steven Ferguson, Richard Lambert, Mukul Ranjan, Reid Adler, Mark Rohrbaugh, Michael Mowatt</w:t>
            </w:r>
          </w:p>
          <w:bookmarkEnd w:id="2"/>
          <w:p w14:paraId="4F6C0F3D" w14:textId="77777777" w:rsidR="004554AE" w:rsidRPr="007E75FB" w:rsidRDefault="004554AE" w:rsidP="004554AE">
            <w:pPr>
              <w:rPr>
                <w:rFonts w:cstheme="minorHAnsi"/>
              </w:rPr>
            </w:pPr>
          </w:p>
          <w:p w14:paraId="518BC424" w14:textId="77777777" w:rsidR="00A441A1" w:rsidRPr="006065B4" w:rsidRDefault="00A441A1" w:rsidP="00A441A1">
            <w:pPr>
              <w:ind w:right="114"/>
              <w:rPr>
                <w:rFonts w:cstheme="minorHAnsi"/>
              </w:rPr>
            </w:pPr>
          </w:p>
          <w:p w14:paraId="16CEE60F" w14:textId="77777777" w:rsidR="00A441A1" w:rsidRPr="00443AAF" w:rsidRDefault="00A441A1" w:rsidP="00166F45">
            <w:pPr>
              <w:ind w:right="114"/>
              <w:rPr>
                <w:rFonts w:cstheme="minorHAnsi"/>
              </w:rPr>
            </w:pPr>
          </w:p>
        </w:tc>
      </w:tr>
    </w:tbl>
    <w:tbl>
      <w:tblPr>
        <w:tblStyle w:val="TableGrid"/>
        <w:tblpPr w:leftFromText="180" w:rightFromText="180" w:vertAnchor="page" w:horzAnchor="margin" w:tblpY="529"/>
        <w:tblW w:w="1042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6ECEC"/>
        <w:tblLayout w:type="fixed"/>
        <w:tblLook w:val="04A0" w:firstRow="1" w:lastRow="0" w:firstColumn="1" w:lastColumn="0" w:noHBand="0" w:noVBand="1"/>
      </w:tblPr>
      <w:tblGrid>
        <w:gridCol w:w="4587"/>
        <w:gridCol w:w="5842"/>
      </w:tblGrid>
      <w:tr w:rsidR="001065DE" w:rsidRPr="00443AAF" w14:paraId="25069243" w14:textId="77777777" w:rsidTr="001065DE">
        <w:trPr>
          <w:trHeight w:val="3554"/>
        </w:trPr>
        <w:tc>
          <w:tcPr>
            <w:tcW w:w="4587" w:type="dxa"/>
            <w:tcBorders>
              <w:top w:val="single" w:sz="4" w:space="0" w:color="B2EDEC"/>
              <w:left w:val="single" w:sz="4" w:space="0" w:color="B2EDEC"/>
              <w:bottom w:val="single" w:sz="4" w:space="0" w:color="B2EDEC"/>
              <w:right w:val="single" w:sz="4" w:space="0" w:color="B2EDEC"/>
            </w:tcBorders>
            <w:shd w:val="clear" w:color="auto" w:fill="B6ECEC"/>
            <w:vAlign w:val="center"/>
          </w:tcPr>
          <w:p w14:paraId="4807AA56" w14:textId="77777777" w:rsidR="001065DE" w:rsidRPr="00443AAF" w:rsidRDefault="001065DE" w:rsidP="001065DE">
            <w:pPr>
              <w:ind w:right="31"/>
              <w:rPr>
                <w:rFonts w:cstheme="minorHAnsi"/>
              </w:rPr>
            </w:pPr>
            <w:r>
              <w:rPr>
                <w:rFonts w:cstheme="minorHAnsi"/>
                <w:noProof/>
              </w:rPr>
              <w:lastRenderedPageBreak/>
              <w:drawing>
                <wp:anchor distT="0" distB="0" distL="114300" distR="114300" simplePos="0" relativeHeight="251791360" behindDoc="1" locked="0" layoutInCell="1" allowOverlap="1" wp14:anchorId="0825D78E" wp14:editId="2ECB1371">
                  <wp:simplePos x="0" y="0"/>
                  <wp:positionH relativeFrom="column">
                    <wp:posOffset>201295</wp:posOffset>
                  </wp:positionH>
                  <wp:positionV relativeFrom="page">
                    <wp:posOffset>153670</wp:posOffset>
                  </wp:positionV>
                  <wp:extent cx="2527935" cy="1769745"/>
                  <wp:effectExtent l="0" t="0" r="5715" b="1905"/>
                  <wp:wrapTopAndBottom/>
                  <wp:docPr id="52" name="Picture 52" descr="A picture containing green, table, water,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VID Mask.jpg"/>
                          <pic:cNvPicPr/>
                        </pic:nvPicPr>
                        <pic:blipFill>
                          <a:blip r:embed="rId13" cstate="screen">
                            <a:extLst>
                              <a:ext uri="{28A0092B-C50C-407E-A947-70E740481C1C}">
                                <a14:useLocalDpi xmlns:a14="http://schemas.microsoft.com/office/drawing/2010/main"/>
                              </a:ext>
                            </a:extLst>
                          </a:blip>
                          <a:stretch>
                            <a:fillRect/>
                          </a:stretch>
                        </pic:blipFill>
                        <pic:spPr>
                          <a:xfrm>
                            <a:off x="0" y="0"/>
                            <a:ext cx="2527935" cy="1769745"/>
                          </a:xfrm>
                          <a:prstGeom prst="rect">
                            <a:avLst/>
                          </a:prstGeom>
                        </pic:spPr>
                      </pic:pic>
                    </a:graphicData>
                  </a:graphic>
                  <wp14:sizeRelH relativeFrom="margin">
                    <wp14:pctWidth>0</wp14:pctWidth>
                  </wp14:sizeRelH>
                  <wp14:sizeRelV relativeFrom="margin">
                    <wp14:pctHeight>0</wp14:pctHeight>
                  </wp14:sizeRelV>
                </wp:anchor>
              </w:drawing>
            </w:r>
          </w:p>
        </w:tc>
        <w:tc>
          <w:tcPr>
            <w:tcW w:w="5842" w:type="dxa"/>
            <w:tcBorders>
              <w:top w:val="single" w:sz="4" w:space="0" w:color="B2EDEC"/>
              <w:left w:val="single" w:sz="4" w:space="0" w:color="B2EDEC"/>
              <w:bottom w:val="single" w:sz="4" w:space="0" w:color="B2EDEC"/>
              <w:right w:val="single" w:sz="4" w:space="0" w:color="B2EDEC"/>
            </w:tcBorders>
            <w:shd w:val="clear" w:color="auto" w:fill="B6ECEC"/>
            <w:vAlign w:val="center"/>
          </w:tcPr>
          <w:p w14:paraId="691E7CC2" w14:textId="77777777" w:rsidR="001065DE" w:rsidRPr="00593B7E" w:rsidRDefault="001065DE" w:rsidP="001065DE">
            <w:pPr>
              <w:spacing w:line="220" w:lineRule="exact"/>
              <w:ind w:right="793"/>
              <w:jc w:val="center"/>
              <w:rPr>
                <w:rFonts w:cstheme="minorHAnsi"/>
                <w:b/>
              </w:rPr>
            </w:pPr>
            <w:r w:rsidRPr="00593B7E">
              <w:rPr>
                <w:rFonts w:cstheme="minorHAnsi"/>
                <w:b/>
              </w:rPr>
              <w:t>In This Issue</w:t>
            </w:r>
          </w:p>
          <w:p w14:paraId="51A4FE4F" w14:textId="09381391" w:rsidR="001065DE" w:rsidRDefault="001065DE" w:rsidP="001065DE">
            <w:pPr>
              <w:pStyle w:val="TOC1"/>
              <w:rPr>
                <w:rFonts w:eastAsiaTheme="minorEastAsia" w:cstheme="minorBidi"/>
                <w:noProof/>
                <w:sz w:val="24"/>
                <w:szCs w:val="21"/>
              </w:rPr>
            </w:pPr>
            <w:r w:rsidRPr="00593B7E">
              <w:rPr>
                <w:rFonts w:cstheme="minorHAnsi"/>
              </w:rPr>
              <w:fldChar w:fldCharType="begin"/>
            </w:r>
            <w:r w:rsidRPr="00593B7E">
              <w:rPr>
                <w:rFonts w:cstheme="minorHAnsi"/>
              </w:rPr>
              <w:instrText xml:space="preserve"> TOC \o "1-1" \h \z \u </w:instrText>
            </w:r>
            <w:r w:rsidRPr="00593B7E">
              <w:rPr>
                <w:rFonts w:cstheme="minorHAnsi"/>
              </w:rPr>
              <w:fldChar w:fldCharType="separate"/>
            </w:r>
            <w:hyperlink w:anchor="_Toc32497429" w:history="1">
              <w:r w:rsidR="00FB23E2" w:rsidRPr="00FB23E2">
                <w:rPr>
                  <w:rStyle w:val="Hyperlink"/>
                  <w:rFonts w:cstheme="minorHAnsi"/>
                  <w:noProof/>
                </w:rPr>
                <w:t>Reid Adler - The First Director of OTT</w:t>
              </w:r>
              <w:r>
                <w:rPr>
                  <w:noProof/>
                  <w:webHidden/>
                </w:rPr>
                <w:tab/>
              </w:r>
              <w:r>
                <w:rPr>
                  <w:noProof/>
                  <w:webHidden/>
                </w:rPr>
                <w:fldChar w:fldCharType="begin"/>
              </w:r>
              <w:r>
                <w:rPr>
                  <w:noProof/>
                  <w:webHidden/>
                </w:rPr>
                <w:instrText xml:space="preserve"> PAGEREF _Toc32497429 \h </w:instrText>
              </w:r>
              <w:r>
                <w:rPr>
                  <w:noProof/>
                  <w:webHidden/>
                </w:rPr>
              </w:r>
              <w:r>
                <w:rPr>
                  <w:noProof/>
                  <w:webHidden/>
                </w:rPr>
                <w:fldChar w:fldCharType="separate"/>
              </w:r>
              <w:r>
                <w:rPr>
                  <w:noProof/>
                  <w:webHidden/>
                </w:rPr>
                <w:t>1</w:t>
              </w:r>
              <w:r>
                <w:rPr>
                  <w:noProof/>
                  <w:webHidden/>
                </w:rPr>
                <w:fldChar w:fldCharType="end"/>
              </w:r>
            </w:hyperlink>
          </w:p>
          <w:p w14:paraId="0B1F68BA" w14:textId="6CB8CCAE" w:rsidR="001065DE" w:rsidRDefault="00E902EF" w:rsidP="00FB23E2">
            <w:pPr>
              <w:pStyle w:val="TOC1"/>
            </w:pPr>
            <w:r>
              <w:t>Vi</w:t>
            </w:r>
            <w:r w:rsidRPr="00E902EF">
              <w:t xml:space="preserve">siting Clinical Scientists Complete Sabbatical Elective In </w:t>
            </w:r>
            <w:r>
              <w:t xml:space="preserve">TT...2 </w:t>
            </w:r>
          </w:p>
          <w:p w14:paraId="4F016D67" w14:textId="46B937C9" w:rsidR="001065DE" w:rsidRDefault="00E902EF" w:rsidP="00E902EF">
            <w:r>
              <w:t>N</w:t>
            </w:r>
            <w:r w:rsidRPr="00E902EF">
              <w:t>ew Data Transfer and Use Agreeme</w:t>
            </w:r>
            <w:r>
              <w:t>nts .………………………………3</w:t>
            </w:r>
          </w:p>
          <w:p w14:paraId="4A9DFC07" w14:textId="7C2D4871" w:rsidR="00E902EF" w:rsidRDefault="00E902EF" w:rsidP="00E902EF">
            <w:pPr>
              <w:rPr>
                <w:rFonts w:eastAsiaTheme="minorEastAsia" w:cstheme="minorBidi"/>
                <w:noProof/>
                <w:sz w:val="24"/>
                <w:szCs w:val="21"/>
              </w:rPr>
            </w:pPr>
            <w:r>
              <w:t>E</w:t>
            </w:r>
            <w:r w:rsidRPr="00E902EF">
              <w:t>stablishing New Patent-Legal Services Contracts</w:t>
            </w:r>
            <w:r>
              <w:t>…………..……..4</w:t>
            </w:r>
          </w:p>
          <w:p w14:paraId="04CEED5A" w14:textId="282545E3" w:rsidR="001065DE" w:rsidRDefault="008C0157" w:rsidP="001065DE">
            <w:pPr>
              <w:pStyle w:val="TOC1"/>
              <w:rPr>
                <w:rFonts w:eastAsiaTheme="minorEastAsia" w:cstheme="minorBidi"/>
                <w:noProof/>
                <w:sz w:val="24"/>
                <w:szCs w:val="21"/>
              </w:rPr>
            </w:pPr>
            <w:r>
              <w:t>S</w:t>
            </w:r>
            <w:r w:rsidRPr="008C0157">
              <w:t>moothing Out The SharePoint Upgrade Transitio</w:t>
            </w:r>
            <w:r>
              <w:t>n  ……………..7</w:t>
            </w:r>
          </w:p>
          <w:p w14:paraId="11743C83" w14:textId="79028C72" w:rsidR="001065DE" w:rsidRDefault="008C0157" w:rsidP="001065DE">
            <w:pPr>
              <w:pStyle w:val="TOC1"/>
              <w:rPr>
                <w:rFonts w:eastAsiaTheme="minorEastAsia" w:cstheme="minorBidi"/>
                <w:noProof/>
                <w:sz w:val="24"/>
                <w:szCs w:val="21"/>
              </w:rPr>
            </w:pPr>
            <w:r>
              <w:t>E</w:t>
            </w:r>
            <w:r w:rsidRPr="008C0157">
              <w:t>nterprise Technology Transfer System Updates</w:t>
            </w:r>
            <w:r>
              <w:t xml:space="preserve"> …………………..8</w:t>
            </w:r>
          </w:p>
          <w:p w14:paraId="33422483" w14:textId="76AC3181" w:rsidR="001065DE" w:rsidRDefault="001B3DDF" w:rsidP="001B3DDF">
            <w:pPr>
              <w:pStyle w:val="TOC1"/>
              <w:rPr>
                <w:noProof/>
              </w:rPr>
            </w:pPr>
            <w:r w:rsidRPr="001B3DDF">
              <w:rPr>
                <w:noProof/>
              </w:rPr>
              <w:t>New NCI Technology Transfer Ambassadors Announced</w:t>
            </w:r>
            <w:r>
              <w:rPr>
                <w:noProof/>
              </w:rPr>
              <w:t xml:space="preserve"> ….…..9</w:t>
            </w:r>
          </w:p>
          <w:p w14:paraId="1CCE5C76" w14:textId="01FD5B34" w:rsidR="00741DF7" w:rsidRPr="00741DF7" w:rsidRDefault="00741DF7" w:rsidP="00741DF7">
            <w:pPr>
              <w:rPr>
                <w:rFonts w:eastAsiaTheme="minorEastAsia"/>
              </w:rPr>
            </w:pPr>
            <w:r w:rsidRPr="00741DF7">
              <w:rPr>
                <w:rFonts w:eastAsiaTheme="minorEastAsia"/>
              </w:rPr>
              <w:t>Biomedical Business Information Sources</w:t>
            </w:r>
            <w:r>
              <w:rPr>
                <w:rFonts w:eastAsiaTheme="minorEastAsia"/>
              </w:rPr>
              <w:t>…………………………….10</w:t>
            </w:r>
          </w:p>
          <w:p w14:paraId="3E2250D6" w14:textId="3EC68AC4" w:rsidR="00B27E25" w:rsidRDefault="00B27E25" w:rsidP="001065DE">
            <w:pPr>
              <w:pStyle w:val="TOC1"/>
            </w:pPr>
            <w:r>
              <w:t>What's The Deal With Materials?............................................11</w:t>
            </w:r>
          </w:p>
          <w:p w14:paraId="0B7F94E7" w14:textId="2B964002" w:rsidR="001065DE" w:rsidRDefault="001B3DDF" w:rsidP="001065DE">
            <w:pPr>
              <w:pStyle w:val="TOC1"/>
              <w:rPr>
                <w:rFonts w:eastAsiaTheme="minorEastAsia" w:cstheme="minorBidi"/>
                <w:noProof/>
                <w:sz w:val="24"/>
                <w:szCs w:val="21"/>
              </w:rPr>
            </w:pPr>
            <w:r>
              <w:t>Comings &amp; Goings………………………………………..……………………</w:t>
            </w:r>
            <w:r w:rsidR="00B27E25">
              <w:t>.</w:t>
            </w:r>
            <w:r>
              <w:t>..1</w:t>
            </w:r>
            <w:r w:rsidR="00B27E25">
              <w:t>2</w:t>
            </w:r>
          </w:p>
          <w:p w14:paraId="38801731" w14:textId="77777777" w:rsidR="001065DE" w:rsidRPr="00593B7E" w:rsidRDefault="001065DE" w:rsidP="001065DE">
            <w:pPr>
              <w:tabs>
                <w:tab w:val="right" w:leader="dot" w:pos="5574"/>
              </w:tabs>
              <w:spacing w:line="220" w:lineRule="exact"/>
              <w:ind w:left="305" w:right="793"/>
              <w:rPr>
                <w:rFonts w:cstheme="minorHAnsi"/>
              </w:rPr>
            </w:pPr>
            <w:r w:rsidRPr="00593B7E">
              <w:rPr>
                <w:rFonts w:cstheme="minorHAnsi"/>
              </w:rPr>
              <w:fldChar w:fldCharType="end"/>
            </w:r>
          </w:p>
        </w:tc>
      </w:tr>
    </w:tbl>
    <w:p w14:paraId="09CC461B" w14:textId="77777777" w:rsidR="005D0F81" w:rsidRDefault="005D0F81" w:rsidP="001065DE">
      <w:pPr>
        <w:pStyle w:val="Heading2"/>
        <w:rPr>
          <w:rFonts w:asciiTheme="minorHAnsi" w:hAnsiTheme="minorHAnsi" w:cstheme="minorHAnsi"/>
          <w:b/>
          <w:bCs/>
        </w:rPr>
      </w:pPr>
    </w:p>
    <w:p w14:paraId="6B870352" w14:textId="2E5B90BC" w:rsidR="001065DE" w:rsidRPr="001B25A7" w:rsidRDefault="00724E19" w:rsidP="001065DE">
      <w:pPr>
        <w:pStyle w:val="Heading2"/>
        <w:rPr>
          <w:rFonts w:asciiTheme="minorHAnsi" w:hAnsiTheme="minorHAnsi" w:cstheme="minorHAnsi"/>
          <w:b/>
          <w:bCs/>
          <w:sz w:val="36"/>
          <w:szCs w:val="36"/>
        </w:rPr>
      </w:pPr>
      <w:r w:rsidRPr="001B25A7">
        <w:rPr>
          <w:rFonts w:asciiTheme="minorHAnsi" w:hAnsiTheme="minorHAnsi" w:cstheme="minorHAnsi"/>
          <w:b/>
          <w:bCs/>
          <w:sz w:val="36"/>
          <w:szCs w:val="36"/>
        </w:rPr>
        <w:t>Visiting Clinical Scientists Complete Sabbatical Elective In Technology Transfer At NIH</w:t>
      </w:r>
    </w:p>
    <w:p w14:paraId="5760534D" w14:textId="2D5334BF" w:rsidR="00A441A1" w:rsidRDefault="00724E19" w:rsidP="00724E19">
      <w:pPr>
        <w:pStyle w:val="Subtitle"/>
        <w:framePr w:hSpace="0" w:wrap="auto" w:vAnchor="margin" w:hAnchor="text" w:yAlign="inline"/>
        <w:rPr>
          <w:rFonts w:asciiTheme="minorHAnsi" w:hAnsiTheme="minorHAnsi" w:cstheme="minorHAnsi"/>
        </w:rPr>
      </w:pPr>
      <w:r>
        <w:rPr>
          <w:rFonts w:asciiTheme="minorHAnsi" w:hAnsiTheme="minorHAnsi" w:cstheme="minorHAnsi"/>
        </w:rPr>
        <w:t xml:space="preserve">Steven Ferguson,  OTT </w:t>
      </w:r>
    </w:p>
    <w:p w14:paraId="63FB6725" w14:textId="6094A8DC" w:rsidR="00EC11FC" w:rsidRPr="0006168C" w:rsidRDefault="00EC11FC" w:rsidP="00EC11FC">
      <w:pPr>
        <w:rPr>
          <w:rFonts w:cstheme="minorHAnsi"/>
          <w:color w:val="444444"/>
          <w:shd w:val="clear" w:color="auto" w:fill="FFFFFF"/>
        </w:rPr>
      </w:pPr>
      <w:r>
        <w:rPr>
          <w:noProof/>
        </w:rPr>
        <w:drawing>
          <wp:anchor distT="0" distB="0" distL="114300" distR="114300" simplePos="0" relativeHeight="251793408" behindDoc="0" locked="0" layoutInCell="1" allowOverlap="1" wp14:anchorId="0C8E3614" wp14:editId="2156AFC1">
            <wp:simplePos x="0" y="0"/>
            <wp:positionH relativeFrom="margin">
              <wp:posOffset>4975860</wp:posOffset>
            </wp:positionH>
            <wp:positionV relativeFrom="paragraph">
              <wp:posOffset>328295</wp:posOffset>
            </wp:positionV>
            <wp:extent cx="1257300" cy="1790700"/>
            <wp:effectExtent l="0" t="0" r="0" b="0"/>
            <wp:wrapThrough wrapText="bothSides">
              <wp:wrapPolygon edited="0">
                <wp:start x="0" y="0"/>
                <wp:lineTo x="0" y="21370"/>
                <wp:lineTo x="21273" y="21370"/>
                <wp:lineTo x="21273"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1257300" cy="1790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24E19">
        <w:rPr>
          <w:rFonts w:cstheme="minorHAnsi"/>
          <w:color w:val="444444"/>
          <w:shd w:val="clear" w:color="auto" w:fill="FFFFFF"/>
        </w:rPr>
        <w:t>Despite COVID-19 closures, two visiting clinicians in t</w:t>
      </w:r>
      <w:r w:rsidR="00724E19" w:rsidRPr="00E6028C">
        <w:rPr>
          <w:rFonts w:cstheme="minorHAnsi"/>
          <w:color w:val="444444"/>
          <w:szCs w:val="22"/>
          <w:shd w:val="clear" w:color="auto" w:fill="FFFFFF"/>
        </w:rPr>
        <w:t xml:space="preserve">he Sabbatical in Clinical Research Management at </w:t>
      </w:r>
      <w:r w:rsidR="00724E19">
        <w:rPr>
          <w:rFonts w:cstheme="minorHAnsi"/>
          <w:color w:val="444444"/>
          <w:shd w:val="clear" w:color="auto" w:fill="FFFFFF"/>
        </w:rPr>
        <w:t>NIH were still able to complete their electives in technology transfer this spring.  The sabbaticals are arranged by the NIH Office of Clinical Research and consist of a</w:t>
      </w:r>
      <w:r w:rsidR="00724E19" w:rsidRPr="00E6028C">
        <w:rPr>
          <w:rFonts w:cstheme="minorHAnsi"/>
          <w:color w:val="444444"/>
          <w:szCs w:val="22"/>
          <w:shd w:val="clear" w:color="auto" w:fill="FFFFFF"/>
        </w:rPr>
        <w:t xml:space="preserve"> 4 to 8</w:t>
      </w:r>
      <w:r w:rsidR="004D4069">
        <w:rPr>
          <w:rFonts w:cstheme="minorHAnsi"/>
          <w:color w:val="444444"/>
          <w:szCs w:val="22"/>
          <w:shd w:val="clear" w:color="auto" w:fill="FFFFFF"/>
        </w:rPr>
        <w:t xml:space="preserve"> </w:t>
      </w:r>
      <w:r w:rsidR="00724E19" w:rsidRPr="00E6028C">
        <w:rPr>
          <w:rFonts w:cstheme="minorHAnsi"/>
          <w:color w:val="444444"/>
          <w:szCs w:val="22"/>
          <w:shd w:val="clear" w:color="auto" w:fill="FFFFFF"/>
        </w:rPr>
        <w:t>week independent study experience for mid-career clinical research investigators and managers of clinical research programs</w:t>
      </w:r>
      <w:r w:rsidR="00724E19">
        <w:rPr>
          <w:rFonts w:cstheme="minorHAnsi"/>
          <w:color w:val="444444"/>
          <w:shd w:val="clear" w:color="auto" w:fill="FFFFFF"/>
        </w:rPr>
        <w:t xml:space="preserve">. </w:t>
      </w:r>
      <w:r w:rsidR="00724E19" w:rsidRPr="00E6028C">
        <w:rPr>
          <w:rFonts w:cstheme="minorHAnsi"/>
          <w:color w:val="444444"/>
          <w:szCs w:val="22"/>
          <w:shd w:val="clear" w:color="auto" w:fill="FFFFFF"/>
        </w:rPr>
        <w:t xml:space="preserve">While on approved sabbatical from their place of employment, participants are </w:t>
      </w:r>
      <w:r w:rsidR="00724E19">
        <w:rPr>
          <w:rFonts w:cstheme="minorHAnsi"/>
          <w:color w:val="444444"/>
          <w:shd w:val="clear" w:color="auto" w:fill="FFFFFF"/>
        </w:rPr>
        <w:t>matched</w:t>
      </w:r>
      <w:r w:rsidR="00724E19" w:rsidRPr="00E6028C">
        <w:rPr>
          <w:rFonts w:cstheme="minorHAnsi"/>
          <w:color w:val="444444"/>
          <w:szCs w:val="22"/>
          <w:shd w:val="clear" w:color="auto" w:fill="FFFFFF"/>
        </w:rPr>
        <w:t xml:space="preserve"> with NIH experts to learn best practices and develop new solutions to manage a clinical research enterprise. </w:t>
      </w:r>
      <w:r w:rsidR="00724E19" w:rsidRPr="006D120A">
        <w:rPr>
          <w:rFonts w:cstheme="minorHAnsi"/>
          <w:color w:val="444444"/>
          <w:shd w:val="clear" w:color="auto" w:fill="FFFFFF"/>
        </w:rPr>
        <w:t xml:space="preserve">Guided by staff in the NIH's Office of Clinical Research, participants may select areas of interest, including:  Critical Infrastructure, Support Services, Legal and Regulatory Infrastructure, Communications and Outreach, Strategic Management, Data Management  -- </w:t>
      </w:r>
      <w:r w:rsidR="00724E19" w:rsidRPr="00EC11FC">
        <w:rPr>
          <w:rFonts w:cstheme="minorHAnsi"/>
          <w:b/>
          <w:bCs/>
          <w:color w:val="444444"/>
          <w:u w:val="single"/>
          <w:shd w:val="clear" w:color="auto" w:fill="FFFFFF"/>
        </w:rPr>
        <w:t>and Technology Transfer</w:t>
      </w:r>
      <w:r w:rsidR="00724E19" w:rsidRPr="006D120A">
        <w:rPr>
          <w:rFonts w:cstheme="minorHAnsi"/>
          <w:color w:val="444444"/>
          <w:shd w:val="clear" w:color="auto" w:fill="FFFFFF"/>
        </w:rPr>
        <w:t>!</w:t>
      </w:r>
      <w:r>
        <w:rPr>
          <w:rFonts w:cstheme="minorHAnsi"/>
          <w:color w:val="444444"/>
          <w:shd w:val="clear" w:color="auto" w:fill="FFFFFF"/>
        </w:rPr>
        <w:t xml:space="preserve">  </w:t>
      </w:r>
      <w:r w:rsidRPr="00EC11FC">
        <w:rPr>
          <w:rFonts w:cstheme="minorHAnsi"/>
          <w:color w:val="444444"/>
          <w:shd w:val="clear" w:color="auto" w:fill="FFFFFF"/>
        </w:rPr>
        <w:t>Sabbatical participants do not engage in clinical research at the NIH</w:t>
      </w:r>
      <w:r w:rsidR="004D4069">
        <w:rPr>
          <w:rFonts w:cstheme="minorHAnsi"/>
          <w:color w:val="444444"/>
          <w:shd w:val="clear" w:color="auto" w:fill="FFFFFF"/>
        </w:rPr>
        <w:t xml:space="preserve"> for this program which is c</w:t>
      </w:r>
      <w:r w:rsidR="004D4069" w:rsidRPr="004D4069">
        <w:rPr>
          <w:rFonts w:cstheme="minorHAnsi"/>
          <w:color w:val="444444"/>
          <w:shd w:val="clear" w:color="auto" w:fill="FFFFFF"/>
        </w:rPr>
        <w:t>o-</w:t>
      </w:r>
      <w:r w:rsidR="004D4069">
        <w:rPr>
          <w:rFonts w:cstheme="minorHAnsi"/>
          <w:color w:val="444444"/>
          <w:shd w:val="clear" w:color="auto" w:fill="FFFFFF"/>
        </w:rPr>
        <w:t>d</w:t>
      </w:r>
      <w:r w:rsidR="004D4069" w:rsidRPr="004D4069">
        <w:rPr>
          <w:rFonts w:cstheme="minorHAnsi"/>
          <w:color w:val="444444"/>
          <w:shd w:val="clear" w:color="auto" w:fill="FFFFFF"/>
        </w:rPr>
        <w:t>irect</w:t>
      </w:r>
      <w:r w:rsidR="0006168C">
        <w:rPr>
          <w:rFonts w:cstheme="minorHAnsi"/>
          <w:color w:val="444444"/>
          <w:shd w:val="clear" w:color="auto" w:fill="FFFFFF"/>
        </w:rPr>
        <w:t>ed</w:t>
      </w:r>
      <w:r w:rsidR="004D4069">
        <w:rPr>
          <w:rFonts w:cstheme="minorHAnsi"/>
          <w:color w:val="444444"/>
          <w:shd w:val="clear" w:color="auto" w:fill="FFFFFF"/>
        </w:rPr>
        <w:t xml:space="preserve"> by </w:t>
      </w:r>
      <w:r w:rsidR="004D4069" w:rsidRPr="004D4069">
        <w:rPr>
          <w:rFonts w:cstheme="minorHAnsi"/>
          <w:color w:val="444444"/>
          <w:shd w:val="clear" w:color="auto" w:fill="FFFFFF"/>
        </w:rPr>
        <w:t>David J. Eckstein, PhD</w:t>
      </w:r>
      <w:r w:rsidR="004D4069">
        <w:rPr>
          <w:rFonts w:cstheme="minorHAnsi"/>
          <w:color w:val="444444"/>
          <w:shd w:val="clear" w:color="auto" w:fill="FFFFFF"/>
        </w:rPr>
        <w:t xml:space="preserve"> and </w:t>
      </w:r>
      <w:r w:rsidR="004D4069" w:rsidRPr="004D4069">
        <w:rPr>
          <w:rFonts w:cstheme="minorHAnsi"/>
          <w:color w:val="444444"/>
          <w:shd w:val="clear" w:color="auto" w:fill="FFFFFF"/>
        </w:rPr>
        <w:t>Anne Zajicek, M</w:t>
      </w:r>
      <w:r w:rsidR="004D4069">
        <w:rPr>
          <w:rFonts w:cstheme="minorHAnsi"/>
          <w:color w:val="444444"/>
          <w:shd w:val="clear" w:color="auto" w:fill="FFFFFF"/>
        </w:rPr>
        <w:t>D</w:t>
      </w:r>
      <w:r w:rsidR="004D4069" w:rsidRPr="004D4069">
        <w:rPr>
          <w:rFonts w:cstheme="minorHAnsi"/>
          <w:color w:val="444444"/>
          <w:shd w:val="clear" w:color="auto" w:fill="FFFFFF"/>
        </w:rPr>
        <w:t>, PharmD.</w:t>
      </w:r>
    </w:p>
    <w:p w14:paraId="70CF158A" w14:textId="0EFA5EF3" w:rsidR="00EC11FC" w:rsidRDefault="00EC11FC" w:rsidP="00EC11FC">
      <w:pPr>
        <w:ind w:left="7200"/>
        <w:jc w:val="center"/>
        <w:rPr>
          <w:rFonts w:cstheme="minorHAnsi"/>
          <w:b/>
          <w:bCs/>
          <w:sz w:val="16"/>
          <w:szCs w:val="16"/>
        </w:rPr>
      </w:pPr>
      <w:r>
        <w:rPr>
          <w:rFonts w:cstheme="minorHAnsi"/>
          <w:b/>
          <w:bCs/>
          <w:sz w:val="16"/>
          <w:szCs w:val="16"/>
        </w:rPr>
        <w:t xml:space="preserve">         Dr. Hend Salah El-Sayed</w:t>
      </w:r>
    </w:p>
    <w:p w14:paraId="1AC456CA" w14:textId="4D9835EA" w:rsidR="00EC11FC" w:rsidRPr="00EC11FC" w:rsidRDefault="00EC11FC" w:rsidP="00EC11FC">
      <w:pPr>
        <w:ind w:left="6480" w:firstLine="720"/>
        <w:rPr>
          <w:rFonts w:cstheme="minorHAnsi"/>
          <w:b/>
          <w:bCs/>
          <w:sz w:val="16"/>
          <w:szCs w:val="16"/>
        </w:rPr>
      </w:pPr>
      <w:r>
        <w:rPr>
          <w:rFonts w:cstheme="minorHAnsi"/>
          <w:b/>
          <w:bCs/>
          <w:sz w:val="16"/>
          <w:szCs w:val="16"/>
        </w:rPr>
        <w:t xml:space="preserve">             </w:t>
      </w:r>
      <w:r w:rsidRPr="00D027E0">
        <w:rPr>
          <w:rFonts w:cstheme="minorHAnsi"/>
          <w:b/>
          <w:bCs/>
          <w:sz w:val="16"/>
          <w:szCs w:val="16"/>
        </w:rPr>
        <w:t>National Research Centre</w:t>
      </w:r>
      <w:r>
        <w:rPr>
          <w:rFonts w:cstheme="minorHAnsi"/>
          <w:b/>
          <w:bCs/>
          <w:sz w:val="16"/>
          <w:szCs w:val="16"/>
        </w:rPr>
        <w:t>, Egypt</w:t>
      </w:r>
    </w:p>
    <w:p w14:paraId="3ABACD03" w14:textId="745C7A14" w:rsidR="00724E19" w:rsidRPr="007E2A17" w:rsidRDefault="00D914E8" w:rsidP="004D4069">
      <w:pPr>
        <w:pStyle w:val="NormalWeb"/>
        <w:shd w:val="clear" w:color="auto" w:fill="FFFFFF"/>
        <w:spacing w:after="312"/>
        <w:jc w:val="left"/>
        <w:rPr>
          <w:rFonts w:asciiTheme="minorHAnsi" w:hAnsiTheme="minorHAnsi" w:cstheme="minorHAnsi"/>
          <w:color w:val="444444"/>
          <w:sz w:val="22"/>
          <w:szCs w:val="22"/>
        </w:rPr>
      </w:pPr>
      <w:r>
        <w:rPr>
          <w:noProof/>
        </w:rPr>
        <w:drawing>
          <wp:anchor distT="0" distB="0" distL="114300" distR="114300" simplePos="0" relativeHeight="251792384" behindDoc="0" locked="0" layoutInCell="1" allowOverlap="1" wp14:anchorId="46C44116" wp14:editId="33C07098">
            <wp:simplePos x="0" y="0"/>
            <wp:positionH relativeFrom="margin">
              <wp:align>left</wp:align>
            </wp:positionH>
            <wp:positionV relativeFrom="paragraph">
              <wp:posOffset>416560</wp:posOffset>
            </wp:positionV>
            <wp:extent cx="1249680" cy="1874520"/>
            <wp:effectExtent l="0" t="0" r="7620" b="0"/>
            <wp:wrapThrough wrapText="bothSides">
              <wp:wrapPolygon edited="0">
                <wp:start x="0" y="0"/>
                <wp:lineTo x="0" y="21293"/>
                <wp:lineTo x="21402" y="21293"/>
                <wp:lineTo x="21402" y="0"/>
                <wp:lineTo x="0" y="0"/>
              </wp:wrapPolygon>
            </wp:wrapThrough>
            <wp:docPr id="1" name="Picture 1" descr="Photo of Madhab Ray, MD,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Madhab Ray, MD, MS"/>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249680" cy="1874520"/>
                    </a:xfrm>
                    <a:prstGeom prst="rect">
                      <a:avLst/>
                    </a:prstGeom>
                    <a:noFill/>
                    <a:ln>
                      <a:noFill/>
                    </a:ln>
                    <a:extLst>
                      <a:ext uri="{53640926-AAD7-44D8-BBD7-CCE9431645EC}">
                        <a14:shadowObscured xmlns:a14="http://schemas.microsoft.com/office/drawing/2010/main"/>
                      </a:ext>
                    </a:extLst>
                  </pic:spPr>
                </pic:pic>
              </a:graphicData>
            </a:graphic>
          </wp:anchor>
        </w:drawing>
      </w:r>
      <w:r w:rsidR="00724E19">
        <w:rPr>
          <w:rFonts w:asciiTheme="minorHAnsi" w:hAnsiTheme="minorHAnsi" w:cstheme="minorHAnsi"/>
          <w:color w:val="444444"/>
          <w:sz w:val="22"/>
          <w:szCs w:val="22"/>
        </w:rPr>
        <w:t xml:space="preserve">Spring 2020 participants in the program who choose to complete an elective in technology transfer for their sabbatical were Dr. Hend Salah El-Sayed of the </w:t>
      </w:r>
      <w:r w:rsidR="00724E19" w:rsidRPr="00CF32B0">
        <w:rPr>
          <w:rFonts w:asciiTheme="minorHAnsi" w:hAnsiTheme="minorHAnsi" w:cstheme="minorHAnsi"/>
          <w:color w:val="444444"/>
          <w:sz w:val="22"/>
          <w:szCs w:val="22"/>
        </w:rPr>
        <w:t xml:space="preserve">Oral &amp; Dental Research Division </w:t>
      </w:r>
      <w:r w:rsidR="00724E19">
        <w:rPr>
          <w:rFonts w:asciiTheme="minorHAnsi" w:hAnsiTheme="minorHAnsi" w:cstheme="minorHAnsi"/>
          <w:color w:val="444444"/>
          <w:sz w:val="22"/>
          <w:szCs w:val="22"/>
        </w:rPr>
        <w:t xml:space="preserve">at the </w:t>
      </w:r>
      <w:bookmarkStart w:id="3" w:name="_Hlk41335968"/>
      <w:r w:rsidR="00724E19" w:rsidRPr="00CF32B0">
        <w:rPr>
          <w:rFonts w:asciiTheme="minorHAnsi" w:hAnsiTheme="minorHAnsi" w:cstheme="minorHAnsi"/>
          <w:color w:val="444444"/>
          <w:sz w:val="22"/>
          <w:szCs w:val="22"/>
        </w:rPr>
        <w:t>National Research Centre</w:t>
      </w:r>
      <w:r w:rsidR="00724E19">
        <w:rPr>
          <w:rFonts w:asciiTheme="minorHAnsi" w:hAnsiTheme="minorHAnsi" w:cstheme="minorHAnsi"/>
          <w:color w:val="444444"/>
          <w:sz w:val="22"/>
          <w:szCs w:val="22"/>
        </w:rPr>
        <w:t xml:space="preserve"> </w:t>
      </w:r>
      <w:bookmarkEnd w:id="3"/>
      <w:r w:rsidR="00724E19">
        <w:rPr>
          <w:rFonts w:asciiTheme="minorHAnsi" w:hAnsiTheme="minorHAnsi" w:cstheme="minorHAnsi"/>
          <w:color w:val="444444"/>
          <w:sz w:val="22"/>
          <w:szCs w:val="22"/>
        </w:rPr>
        <w:t>in Giza, Egypt and Dr. Madhab Ray, an Assistant Clinical Professor at Tufts University School Medicine in Boston, MA.  They were both matched up with Steven Ferguson of OTT for their tech transfer electives.   Both clinicians were able to complete their tech transfer electives via virtual meetings with Mr. Ferguson and then later were able to participate in remo</w:t>
      </w:r>
      <w:r w:rsidR="005D0F81">
        <w:rPr>
          <w:rFonts w:asciiTheme="minorHAnsi" w:hAnsiTheme="minorHAnsi" w:cstheme="minorHAnsi"/>
          <w:color w:val="444444"/>
          <w:sz w:val="22"/>
          <w:szCs w:val="22"/>
        </w:rPr>
        <w:t>te</w:t>
      </w:r>
      <w:r w:rsidR="00724E19">
        <w:rPr>
          <w:rFonts w:asciiTheme="minorHAnsi" w:hAnsiTheme="minorHAnsi" w:cstheme="minorHAnsi"/>
          <w:color w:val="444444"/>
          <w:sz w:val="22"/>
          <w:szCs w:val="22"/>
        </w:rPr>
        <w:t xml:space="preserve"> tech</w:t>
      </w:r>
      <w:r w:rsidR="005D0F81">
        <w:rPr>
          <w:rFonts w:asciiTheme="minorHAnsi" w:hAnsiTheme="minorHAnsi" w:cstheme="minorHAnsi"/>
          <w:color w:val="444444"/>
          <w:sz w:val="22"/>
          <w:szCs w:val="22"/>
        </w:rPr>
        <w:t>nology</w:t>
      </w:r>
      <w:r w:rsidR="00724E19">
        <w:rPr>
          <w:rFonts w:asciiTheme="minorHAnsi" w:hAnsiTheme="minorHAnsi" w:cstheme="minorHAnsi"/>
          <w:color w:val="444444"/>
          <w:sz w:val="22"/>
          <w:szCs w:val="22"/>
        </w:rPr>
        <w:t xml:space="preserve"> transfer classes from Egypt and Boston!</w:t>
      </w:r>
    </w:p>
    <w:p w14:paraId="5B4B576B" w14:textId="7B974559" w:rsidR="00EC11FC" w:rsidRDefault="00724E19" w:rsidP="005D0F81">
      <w:pPr>
        <w:rPr>
          <w:rFonts w:cstheme="minorHAnsi"/>
          <w:b/>
          <w:bCs/>
          <w:sz w:val="16"/>
          <w:szCs w:val="16"/>
        </w:rPr>
      </w:pPr>
      <w:r w:rsidRPr="00E6028C">
        <w:rPr>
          <w:rFonts w:cstheme="minorHAnsi"/>
          <w:color w:val="444444"/>
          <w:szCs w:val="22"/>
          <w:shd w:val="clear" w:color="auto" w:fill="FFFFFF"/>
        </w:rPr>
        <w:t>Th</w:t>
      </w:r>
      <w:r>
        <w:rPr>
          <w:rFonts w:cstheme="minorHAnsi"/>
          <w:color w:val="444444"/>
          <w:szCs w:val="22"/>
          <w:shd w:val="clear" w:color="auto" w:fill="FFFFFF"/>
        </w:rPr>
        <w:t xml:space="preserve">is </w:t>
      </w:r>
      <w:r w:rsidR="005D0F81">
        <w:rPr>
          <w:rFonts w:cstheme="minorHAnsi"/>
          <w:color w:val="444444"/>
          <w:szCs w:val="22"/>
          <w:shd w:val="clear" w:color="auto" w:fill="FFFFFF"/>
        </w:rPr>
        <w:t xml:space="preserve">clinical sabbatical </w:t>
      </w:r>
      <w:r w:rsidRPr="00E6028C">
        <w:rPr>
          <w:rFonts w:cstheme="minorHAnsi"/>
          <w:color w:val="444444"/>
          <w:szCs w:val="22"/>
          <w:shd w:val="clear" w:color="auto" w:fill="FFFFFF"/>
        </w:rPr>
        <w:t>program is open to extramural professionals a</w:t>
      </w:r>
      <w:r w:rsidR="005D0F81">
        <w:rPr>
          <w:rFonts w:cstheme="minorHAnsi"/>
          <w:color w:val="444444"/>
          <w:szCs w:val="22"/>
          <w:shd w:val="clear" w:color="auto" w:fill="FFFFFF"/>
        </w:rPr>
        <w:t>s well as</w:t>
      </w:r>
      <w:r w:rsidRPr="00E6028C">
        <w:rPr>
          <w:rFonts w:cstheme="minorHAnsi"/>
          <w:color w:val="444444"/>
          <w:szCs w:val="22"/>
          <w:shd w:val="clear" w:color="auto" w:fill="FFFFFF"/>
        </w:rPr>
        <w:t xml:space="preserve"> NIH investigators and staff who are mid-career and have at least seven years of meaningful clinical research experience beyond an advanced degree in their field. </w:t>
      </w:r>
      <w:r>
        <w:rPr>
          <w:rFonts w:cstheme="minorHAnsi"/>
          <w:color w:val="444444"/>
          <w:szCs w:val="22"/>
          <w:shd w:val="clear" w:color="auto" w:fill="FFFFFF"/>
        </w:rPr>
        <w:t xml:space="preserve">Participants include </w:t>
      </w:r>
      <w:r w:rsidRPr="00E6028C">
        <w:rPr>
          <w:rFonts w:cstheme="minorHAnsi"/>
          <w:color w:val="444444"/>
          <w:szCs w:val="22"/>
          <w:shd w:val="clear" w:color="auto" w:fill="FFFFFF"/>
        </w:rPr>
        <w:t>both U.S. and international</w:t>
      </w:r>
      <w:bookmarkStart w:id="4" w:name="_Hlk41336349"/>
      <w:r w:rsidR="004D4069">
        <w:rPr>
          <w:rFonts w:cstheme="minorHAnsi"/>
          <w:color w:val="444444"/>
          <w:szCs w:val="22"/>
          <w:shd w:val="clear" w:color="auto" w:fill="FFFFFF"/>
        </w:rPr>
        <w:t xml:space="preserve"> scientists. </w:t>
      </w:r>
    </w:p>
    <w:p w14:paraId="5D8D68DD" w14:textId="6C73E27F" w:rsidR="005D0F81" w:rsidRDefault="005D0F81" w:rsidP="005D0F81">
      <w:pPr>
        <w:rPr>
          <w:rFonts w:cstheme="minorHAnsi"/>
          <w:b/>
          <w:bCs/>
          <w:sz w:val="16"/>
          <w:szCs w:val="16"/>
        </w:rPr>
      </w:pPr>
      <w:r>
        <w:rPr>
          <w:rFonts w:cstheme="minorHAnsi"/>
          <w:b/>
          <w:bCs/>
          <w:sz w:val="16"/>
          <w:szCs w:val="16"/>
        </w:rPr>
        <w:t xml:space="preserve"> </w:t>
      </w:r>
      <w:r w:rsidR="00EC11FC">
        <w:rPr>
          <w:rFonts w:cstheme="minorHAnsi"/>
          <w:b/>
          <w:bCs/>
          <w:sz w:val="16"/>
          <w:szCs w:val="16"/>
        </w:rPr>
        <w:t xml:space="preserve">         </w:t>
      </w:r>
      <w:r>
        <w:rPr>
          <w:rFonts w:cstheme="minorHAnsi"/>
          <w:b/>
          <w:bCs/>
          <w:sz w:val="16"/>
          <w:szCs w:val="16"/>
        </w:rPr>
        <w:t>Dr. Madhab Ray</w:t>
      </w:r>
    </w:p>
    <w:p w14:paraId="4314AF44" w14:textId="66D0DD6B" w:rsidR="005D0F81" w:rsidRDefault="005D0F81" w:rsidP="005D0F81">
      <w:pPr>
        <w:rPr>
          <w:rFonts w:cstheme="minorHAnsi"/>
          <w:b/>
          <w:bCs/>
          <w:sz w:val="16"/>
          <w:szCs w:val="16"/>
        </w:rPr>
      </w:pPr>
      <w:r>
        <w:rPr>
          <w:rFonts w:cstheme="minorHAnsi"/>
          <w:b/>
          <w:bCs/>
          <w:sz w:val="16"/>
          <w:szCs w:val="16"/>
        </w:rPr>
        <w:t xml:space="preserve">    Tufts University</w:t>
      </w:r>
      <w:r w:rsidR="00EC11FC">
        <w:rPr>
          <w:rFonts w:cstheme="minorHAnsi"/>
          <w:b/>
          <w:bCs/>
          <w:sz w:val="16"/>
          <w:szCs w:val="16"/>
        </w:rPr>
        <w:t>, Boston</w:t>
      </w:r>
    </w:p>
    <w:bookmarkEnd w:id="4"/>
    <w:p w14:paraId="52820BAD" w14:textId="2561BD14" w:rsidR="00724E19" w:rsidRPr="00724E19" w:rsidRDefault="00724E19" w:rsidP="00D914E8">
      <w:pPr>
        <w:pStyle w:val="NormalWeb"/>
        <w:shd w:val="clear" w:color="auto" w:fill="FFFFFF"/>
        <w:spacing w:before="0" w:beforeAutospacing="0" w:after="312" w:afterAutospacing="0"/>
      </w:pPr>
    </w:p>
    <w:p w14:paraId="090FDE8C" w14:textId="2E5E9D6E" w:rsidR="00D914E8" w:rsidRDefault="00D914E8" w:rsidP="00D914E8">
      <w:pPr>
        <w:rPr>
          <w:rFonts w:cstheme="minorHAnsi"/>
          <w:b/>
          <w:bCs/>
          <w:sz w:val="16"/>
          <w:szCs w:val="16"/>
        </w:rPr>
      </w:pPr>
    </w:p>
    <w:p w14:paraId="779EE0B0" w14:textId="0C0282CB" w:rsidR="00724E19" w:rsidRPr="00724E19" w:rsidRDefault="00724E19" w:rsidP="00724E19">
      <w:pPr>
        <w:sectPr w:rsidR="00724E19" w:rsidRPr="00724E19" w:rsidSect="00E83429">
          <w:footerReference w:type="default" r:id="rId16"/>
          <w:footerReference w:type="first" r:id="rId17"/>
          <w:pgSz w:w="12240" w:h="15840"/>
          <w:pgMar w:top="1080" w:right="1080" w:bottom="360" w:left="1080" w:header="720" w:footer="720" w:gutter="0"/>
          <w:cols w:space="720"/>
          <w:titlePg/>
          <w:docGrid w:linePitch="360"/>
        </w:sectPr>
      </w:pPr>
    </w:p>
    <w:tbl>
      <w:tblPr>
        <w:tblStyle w:val="TableGrid"/>
        <w:tblpPr w:leftFromText="180" w:rightFromText="180" w:vertAnchor="text" w:horzAnchor="margin" w:tblpY="157"/>
        <w:tblW w:w="101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9535"/>
        <w:gridCol w:w="630"/>
      </w:tblGrid>
      <w:tr w:rsidR="00DB7644" w:rsidRPr="00443AAF" w14:paraId="38DAD193" w14:textId="77777777" w:rsidTr="00DB7644">
        <w:trPr>
          <w:cantSplit/>
          <w:trHeight w:val="1134"/>
        </w:trPr>
        <w:tc>
          <w:tcPr>
            <w:tcW w:w="9535" w:type="dxa"/>
          </w:tcPr>
          <w:p w14:paraId="1102510A" w14:textId="77777777" w:rsidR="00DB7644" w:rsidRPr="001B25A7" w:rsidRDefault="00DB7644" w:rsidP="00DB7644">
            <w:pPr>
              <w:pStyle w:val="Heading2"/>
              <w:outlineLvl w:val="1"/>
              <w:rPr>
                <w:rFonts w:asciiTheme="minorHAnsi" w:hAnsiTheme="minorHAnsi" w:cstheme="minorHAnsi"/>
                <w:b/>
                <w:bCs/>
                <w:sz w:val="36"/>
                <w:szCs w:val="36"/>
              </w:rPr>
            </w:pPr>
            <w:r w:rsidRPr="001B25A7">
              <w:rPr>
                <w:rFonts w:asciiTheme="minorHAnsi" w:hAnsiTheme="minorHAnsi" w:cstheme="minorHAnsi"/>
                <w:b/>
                <w:bCs/>
                <w:sz w:val="36"/>
                <w:szCs w:val="36"/>
              </w:rPr>
              <w:lastRenderedPageBreak/>
              <w:t xml:space="preserve">New Data Transfer and Use Agreement Streamlines </w:t>
            </w:r>
          </w:p>
          <w:p w14:paraId="20EBB6AA" w14:textId="77777777" w:rsidR="00DB7644" w:rsidRPr="001B25A7" w:rsidRDefault="00DB7644" w:rsidP="00DB7644">
            <w:pPr>
              <w:pStyle w:val="Heading2"/>
              <w:outlineLvl w:val="1"/>
              <w:rPr>
                <w:rFonts w:asciiTheme="minorHAnsi" w:hAnsiTheme="minorHAnsi" w:cstheme="minorHAnsi"/>
                <w:b/>
                <w:sz w:val="36"/>
                <w:szCs w:val="36"/>
              </w:rPr>
            </w:pPr>
            <w:r w:rsidRPr="001B25A7">
              <w:rPr>
                <w:rFonts w:asciiTheme="minorHAnsi" w:hAnsiTheme="minorHAnsi" w:cstheme="minorHAnsi"/>
                <w:b/>
                <w:bCs/>
                <w:sz w:val="36"/>
                <w:szCs w:val="36"/>
              </w:rPr>
              <w:t>Sharing of Research Data</w:t>
            </w:r>
          </w:p>
          <w:p w14:paraId="0DCB5CEC" w14:textId="77777777" w:rsidR="00DB7644" w:rsidRPr="00443AAF" w:rsidRDefault="00DB7644" w:rsidP="00DB7644">
            <w:pPr>
              <w:pStyle w:val="Subtitle"/>
              <w:framePr w:hSpace="0" w:wrap="auto" w:vAnchor="margin" w:hAnchor="text" w:yAlign="inline"/>
              <w:rPr>
                <w:rFonts w:asciiTheme="minorHAnsi" w:hAnsiTheme="minorHAnsi" w:cstheme="minorHAnsi"/>
              </w:rPr>
            </w:pPr>
            <w:r>
              <w:rPr>
                <w:noProof/>
              </w:rPr>
              <w:drawing>
                <wp:anchor distT="0" distB="0" distL="114300" distR="114300" simplePos="0" relativeHeight="251787264" behindDoc="1" locked="0" layoutInCell="1" allowOverlap="1" wp14:anchorId="3DA6D6A2" wp14:editId="4484E3B6">
                  <wp:simplePos x="0" y="0"/>
                  <wp:positionH relativeFrom="column">
                    <wp:posOffset>3662045</wp:posOffset>
                  </wp:positionH>
                  <wp:positionV relativeFrom="paragraph">
                    <wp:posOffset>20320</wp:posOffset>
                  </wp:positionV>
                  <wp:extent cx="2080260" cy="2118360"/>
                  <wp:effectExtent l="0" t="0" r="0" b="0"/>
                  <wp:wrapTight wrapText="bothSides">
                    <wp:wrapPolygon edited="0">
                      <wp:start x="0" y="0"/>
                      <wp:lineTo x="0" y="21367"/>
                      <wp:lineTo x="21363" y="21367"/>
                      <wp:lineTo x="21363" y="0"/>
                      <wp:lineTo x="0" y="0"/>
                    </wp:wrapPolygon>
                  </wp:wrapTight>
                  <wp:docPr id="50" name="Picture 50" descr="Data Transfer Symbol. Vector Illustra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ta Transfer Symbol. Vector Illustration Stock Vector ..."/>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2080260" cy="211836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rPr>
              <w:t>Michele Newton</w:t>
            </w:r>
            <w:r w:rsidRPr="00D16E6F">
              <w:rPr>
                <w:rFonts w:asciiTheme="minorHAnsi" w:hAnsiTheme="minorHAnsi" w:cstheme="minorHAnsi"/>
              </w:rPr>
              <w:t xml:space="preserve">, </w:t>
            </w:r>
            <w:r>
              <w:rPr>
                <w:rFonts w:asciiTheme="minorHAnsi" w:hAnsiTheme="minorHAnsi" w:cstheme="minorHAnsi"/>
              </w:rPr>
              <w:t>NCI</w:t>
            </w:r>
          </w:p>
          <w:p w14:paraId="4DB86FF3" w14:textId="77777777" w:rsidR="00DB7644" w:rsidRDefault="00DB7644" w:rsidP="00DB7644">
            <w:pPr>
              <w:rPr>
                <w:noProof/>
              </w:rPr>
            </w:pPr>
            <w:r w:rsidRPr="00DF7EC5">
              <w:rPr>
                <w:noProof/>
              </w:rPr>
              <w:t xml:space="preserve">Research data is frequently shared using a data transfer agreement (also known as a data sharing agreement or data use agreement). The volume and complexity of these agreements are rapidly increasing. When data providers use different agreements, significant time must be spent reviewing widely varying agreement terms during negotiation. The Federal Demonstration Partnership (FDP) is a cooperative initiative among research institutions and federal agencies to reduce the administrative burdens associated with research grants and contracts. It recently initiated an effort to address the growing challenges associated with transfers of research data. As a first step towards creating greater consistency in terms and format and to improve efficiency of agreement negotiations through a universal template, an FDP working group created a data transfer and use agreement (DTUA) template.  This template is intended for the one-way transfer of research data (non-human or human data) from the provider institution to a recipient institution for use in a research project at the recipient institution. NCI TTC’s Lisa Finkelstein, Ph.D. participated in this working group and solicited feedback on the template from the entire NIH technology transfer community. </w:t>
            </w:r>
          </w:p>
          <w:p w14:paraId="37AB892E" w14:textId="77777777" w:rsidR="00DB7644" w:rsidRDefault="00DB7644" w:rsidP="00DB7644">
            <w:pPr>
              <w:rPr>
                <w:noProof/>
              </w:rPr>
            </w:pPr>
          </w:p>
          <w:p w14:paraId="4ABA83A0" w14:textId="77777777" w:rsidR="00DB7644" w:rsidRDefault="00DB7644" w:rsidP="00DB7644">
            <w:pPr>
              <w:rPr>
                <w:noProof/>
              </w:rPr>
            </w:pPr>
            <w:r w:rsidRPr="00DF7EC5">
              <w:rPr>
                <w:noProof/>
              </w:rPr>
              <mc:AlternateContent>
                <mc:Choice Requires="wps">
                  <w:drawing>
                    <wp:anchor distT="0" distB="0" distL="114300" distR="114300" simplePos="0" relativeHeight="251786240" behindDoc="0" locked="0" layoutInCell="1" allowOverlap="1" wp14:anchorId="3920954F" wp14:editId="320CC986">
                      <wp:simplePos x="0" y="0"/>
                      <wp:positionH relativeFrom="column">
                        <wp:posOffset>-3175</wp:posOffset>
                      </wp:positionH>
                      <wp:positionV relativeFrom="paragraph">
                        <wp:posOffset>-635</wp:posOffset>
                      </wp:positionV>
                      <wp:extent cx="3474720" cy="1403985"/>
                      <wp:effectExtent l="0" t="0" r="11430" b="1714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solidFill>
                                  <a:srgbClr val="307491"/>
                                </a:solidFill>
                                <a:miter lim="800000"/>
                                <a:headEnd/>
                                <a:tailEnd/>
                              </a:ln>
                            </wps:spPr>
                            <wps:txbx>
                              <w:txbxContent>
                                <w:p w14:paraId="15EF1B98" w14:textId="77777777" w:rsidR="00724E19" w:rsidRPr="00E8030B" w:rsidRDefault="00724E19" w:rsidP="00DB7644">
                                  <w:pPr>
                                    <w:pBdr>
                                      <w:top w:val="single" w:sz="24" w:space="8" w:color="5B9BD5" w:themeColor="accent1"/>
                                      <w:bottom w:val="single" w:sz="24" w:space="8" w:color="5B9BD5" w:themeColor="accent1"/>
                                    </w:pBdr>
                                    <w:rPr>
                                      <w:rFonts w:ascii="Arial" w:hAnsi="Arial" w:cs="Arial"/>
                                      <w:i/>
                                      <w:iCs/>
                                      <w:color w:val="5B9BD5" w:themeColor="accent1"/>
                                    </w:rPr>
                                  </w:pPr>
                                  <w:r w:rsidRPr="00E8030B">
                                    <w:rPr>
                                      <w:rFonts w:ascii="Arial" w:hAnsi="Arial" w:cs="Arial"/>
                                      <w:i/>
                                      <w:iCs/>
                                      <w:color w:val="5B9BD5" w:themeColor="accent1"/>
                                    </w:rPr>
                                    <w:t xml:space="preserve">The amount of time to execute Data Transfer Agreements when using the DTUA template for the NCI docket was reduced by half, according to an analysis conducted by TTC’s Dr. Lisa Finkelstein who participated in the FDP working group. </w:t>
                                  </w:r>
                                </w:p>
                              </w:txbxContent>
                            </wps:txbx>
                            <wps:bodyPr rot="0" vert="horz" wrap="square" lIns="91440" tIns="45720" rIns="91440" bIns="45720" anchor="t" anchorCtr="0">
                              <a:spAutoFit/>
                            </wps:bodyPr>
                          </wps:wsp>
                        </a:graphicData>
                      </a:graphic>
                    </wp:anchor>
                  </w:drawing>
                </mc:Choice>
                <mc:Fallback>
                  <w:pict>
                    <v:shapetype w14:anchorId="3920954F" id="_x0000_t202" coordsize="21600,21600" o:spt="202" path="m,l,21600r21600,l21600,xe">
                      <v:stroke joinstyle="miter"/>
                      <v:path gradientshapeok="t" o:connecttype="rect"/>
                    </v:shapetype>
                    <v:shape id="Text Box 2" o:spid="_x0000_s1026" type="#_x0000_t202" style="position:absolute;margin-left:-.25pt;margin-top:-.05pt;width:273.6pt;height:110.5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" filled="f" strokecolor="#307491">
                      <v:textbox style="mso-fit-shape-to-text:t">
                        <w:txbxContent>
                          <w:p w14:paraId="15EF1B98" w14:textId="77777777" w:rsidR="00724E19" w:rsidRPr="00E8030B" w:rsidRDefault="00724E19" w:rsidP="00DB7644">
                            <w:pPr>
                              <w:pBdr>
                                <w:top w:val="single" w:sz="24" w:space="8" w:color="5B9BD5" w:themeColor="accent1"/>
                                <w:bottom w:val="single" w:sz="24" w:space="8" w:color="5B9BD5" w:themeColor="accent1"/>
                              </w:pBdr>
                              <w:rPr>
                                <w:rFonts w:ascii="Arial" w:hAnsi="Arial" w:cs="Arial"/>
                                <w:i/>
                                <w:iCs/>
                                <w:color w:val="5B9BD5" w:themeColor="accent1"/>
                              </w:rPr>
                            </w:pPr>
                            <w:r w:rsidRPr="00E8030B">
                              <w:rPr>
                                <w:rFonts w:ascii="Arial" w:hAnsi="Arial" w:cs="Arial"/>
                                <w:i/>
                                <w:iCs/>
                                <w:color w:val="5B9BD5" w:themeColor="accent1"/>
                              </w:rPr>
                              <w:t xml:space="preserve">The amount of time to execute Data Transfer Agreements when using the DTUA template for the NCI docket was reduced by half, according to an analysis conducted by TTC’s Dr. Lisa Finkelstein who participated in the FDP working group. </w:t>
                            </w:r>
                          </w:p>
                        </w:txbxContent>
                      </v:textbox>
                      <w10:wrap type="square"/>
                    </v:shape>
                  </w:pict>
                </mc:Fallback>
              </mc:AlternateContent>
            </w:r>
            <w:r w:rsidRPr="00DF7EC5">
              <w:rPr>
                <w:noProof/>
              </w:rPr>
              <w:t xml:space="preserve">The FDP DTUA template is available for any institution to use and can be found on the </w:t>
            </w:r>
            <w:hyperlink r:id="rId19" w:history="1">
              <w:r w:rsidRPr="00DF7EC5">
                <w:rPr>
                  <w:rStyle w:val="Hyperlink"/>
                  <w:noProof/>
                </w:rPr>
                <w:t>FDP Data Stewardship subcommittee website</w:t>
              </w:r>
            </w:hyperlink>
            <w:r w:rsidRPr="00DF7EC5">
              <w:rPr>
                <w:noProof/>
              </w:rPr>
              <w:t xml:space="preserve">. This site also contains guidance documents, tools, and FAQs to support its use. After releasing the DTUA template, the FDP launched a formal, year-long pilot of the template to gather feedback and metrics from institutions that were using it. TTC participated in this pilot for the NCI docket. This involved using the template when appropriate to send out data and encouraging outside parties to use it to provide data to NCI. An analysis of all data transfer agreements (DTAs) executed by NCI during the pilot reveals that use of the FDP DTUA template reduced by half the time it takes to execute a DTA, according to Dr. Finkelstein. NCI was not able to use the FDP DTUA template for collaborative projects where data was transferred by both parties, and not simply a one-way transfer. </w:t>
            </w:r>
          </w:p>
          <w:p w14:paraId="705869C3" w14:textId="77777777" w:rsidR="00DB7644" w:rsidRDefault="00DB7644" w:rsidP="00DB7644">
            <w:pPr>
              <w:rPr>
                <w:noProof/>
              </w:rPr>
            </w:pPr>
          </w:p>
          <w:p w14:paraId="0ADE597A" w14:textId="77777777" w:rsidR="00DB7644" w:rsidRDefault="00DB7644" w:rsidP="00DB7644">
            <w:pPr>
              <w:rPr>
                <w:noProof/>
              </w:rPr>
            </w:pPr>
            <w:r w:rsidRPr="00DF7EC5">
              <w:rPr>
                <w:noProof/>
              </w:rPr>
              <w:t xml:space="preserve">Several pilot participants, including NCI, provided feedback recognizing the need for a collaborative, two-way template, and the FDP working group is now developing such a template for a future release date. Further support for the value of a universal DTA is evidenced by a </w:t>
            </w:r>
            <w:hyperlink r:id="rId20" w:history="1">
              <w:r w:rsidRPr="00DF7EC5">
                <w:rPr>
                  <w:rStyle w:val="Hyperlink"/>
                  <w:noProof/>
                </w:rPr>
                <w:t xml:space="preserve">January 2020 </w:t>
              </w:r>
              <w:r w:rsidRPr="00DF7EC5">
                <w:rPr>
                  <w:rStyle w:val="Hyperlink"/>
                  <w:i/>
                  <w:iCs/>
                  <w:noProof/>
                </w:rPr>
                <w:t>Science</w:t>
              </w:r>
              <w:r w:rsidRPr="00DF7EC5">
                <w:rPr>
                  <w:rStyle w:val="Hyperlink"/>
                  <w:noProof/>
                </w:rPr>
                <w:t xml:space="preserve"> article</w:t>
              </w:r>
            </w:hyperlink>
            <w:r w:rsidRPr="00DF7EC5">
              <w:rPr>
                <w:noProof/>
              </w:rPr>
              <w:t xml:space="preserve"> where the FDP DTUA template project was recognized as a promising development in the effort to streamline data transfers. Dr. Finkelstein is continuing to participate in the FDP working group.</w:t>
            </w:r>
          </w:p>
          <w:p w14:paraId="0F1B45B6" w14:textId="77777777" w:rsidR="00DB7644" w:rsidRDefault="00DB7644" w:rsidP="00DB7644">
            <w:pPr>
              <w:rPr>
                <w:noProof/>
              </w:rPr>
            </w:pPr>
          </w:p>
          <w:p w14:paraId="244E06EC" w14:textId="77777777" w:rsidR="00DB7644" w:rsidRPr="00DB7644" w:rsidRDefault="00DB7644" w:rsidP="00DB7644">
            <w:pPr>
              <w:rPr>
                <w:noProof/>
              </w:rPr>
            </w:pPr>
            <w:r>
              <w:rPr>
                <w:noProof/>
              </w:rPr>
              <w:drawing>
                <wp:inline distT="0" distB="0" distL="0" distR="0" wp14:anchorId="2F9BDAA5" wp14:editId="091FB1EE">
                  <wp:extent cx="5646420" cy="942975"/>
                  <wp:effectExtent l="0" t="0" r="0" b="9525"/>
                  <wp:docPr id="51" name="Picture 51" descr="EU Commission Expects New Data Transfer Deal With US in 3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 Commission Expects New Data Transfer Deal With US in 3 Months ..."/>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43696" cy="959220"/>
                          </a:xfrm>
                          <a:prstGeom prst="rect">
                            <a:avLst/>
                          </a:prstGeom>
                          <a:noFill/>
                          <a:ln>
                            <a:noFill/>
                          </a:ln>
                        </pic:spPr>
                      </pic:pic>
                    </a:graphicData>
                  </a:graphic>
                </wp:inline>
              </w:drawing>
            </w:r>
          </w:p>
        </w:tc>
        <w:tc>
          <w:tcPr>
            <w:tcW w:w="630" w:type="dxa"/>
            <w:shd w:val="clear" w:color="auto" w:fill="5B9BD5" w:themeFill="accent1"/>
            <w:textDirection w:val="btLr"/>
          </w:tcPr>
          <w:p w14:paraId="606C613A" w14:textId="109F2014" w:rsidR="00DB7644" w:rsidRPr="00443AAF" w:rsidRDefault="00DB7644" w:rsidP="00DB7644">
            <w:pPr>
              <w:pStyle w:val="Heading1"/>
              <w:framePr w:hSpace="0" w:wrap="auto" w:vAnchor="margin" w:hAnchor="text" w:yAlign="inline"/>
              <w:outlineLvl w:val="0"/>
              <w:rPr>
                <w:rFonts w:asciiTheme="minorHAnsi" w:hAnsiTheme="minorHAnsi" w:cstheme="minorHAnsi"/>
              </w:rPr>
            </w:pPr>
            <w:r>
              <w:rPr>
                <w:rFonts w:asciiTheme="minorHAnsi" w:hAnsiTheme="minorHAnsi" w:cstheme="minorHAnsi"/>
              </w:rPr>
              <w:t>New Data Transfer and Use Agreement Developed</w:t>
            </w:r>
          </w:p>
        </w:tc>
      </w:tr>
    </w:tbl>
    <w:tbl>
      <w:tblPr>
        <w:tblStyle w:val="TableGrid"/>
        <w:tblpPr w:leftFromText="180" w:rightFromText="180" w:vertAnchor="text" w:horzAnchor="margin" w:tblpY="-55"/>
        <w:tblW w:w="102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10255"/>
      </w:tblGrid>
      <w:tr w:rsidR="004D4275" w:rsidRPr="00443AAF" w14:paraId="63C1923C" w14:textId="77777777" w:rsidTr="00E65393">
        <w:trPr>
          <w:cantSplit/>
          <w:trHeight w:val="1134"/>
        </w:trPr>
        <w:tc>
          <w:tcPr>
            <w:tcW w:w="10255" w:type="dxa"/>
          </w:tcPr>
          <w:p w14:paraId="07A5E62D" w14:textId="7A1A85C5" w:rsidR="00E65393" w:rsidRDefault="007F1DF3" w:rsidP="00A0232D">
            <w:pPr>
              <w:pStyle w:val="Heading2"/>
              <w:ind w:right="114"/>
              <w:outlineLvl w:val="1"/>
              <w:rPr>
                <w:rFonts w:asciiTheme="minorHAnsi" w:hAnsiTheme="minorHAnsi" w:cstheme="minorHAnsi"/>
                <w:b/>
                <w:bCs/>
              </w:rPr>
            </w:pPr>
            <w:r>
              <w:rPr>
                <w:noProof/>
              </w:rPr>
              <w:lastRenderedPageBreak/>
              <w:drawing>
                <wp:inline distT="0" distB="0" distL="0" distR="0" wp14:anchorId="668AD545" wp14:editId="772497E6">
                  <wp:extent cx="6461760" cy="16529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6701263" cy="1714169"/>
                          </a:xfrm>
                          <a:prstGeom prst="rect">
                            <a:avLst/>
                          </a:prstGeom>
                          <a:noFill/>
                          <a:ln>
                            <a:noFill/>
                          </a:ln>
                        </pic:spPr>
                      </pic:pic>
                    </a:graphicData>
                  </a:graphic>
                </wp:inline>
              </w:drawing>
            </w:r>
          </w:p>
          <w:p w14:paraId="2D85B6D9" w14:textId="77777777" w:rsidR="00E65393" w:rsidRDefault="00E65393" w:rsidP="00A0232D">
            <w:pPr>
              <w:pStyle w:val="Heading2"/>
              <w:ind w:right="114"/>
              <w:outlineLvl w:val="1"/>
              <w:rPr>
                <w:rFonts w:asciiTheme="minorHAnsi" w:hAnsiTheme="minorHAnsi" w:cstheme="minorHAnsi"/>
                <w:b/>
                <w:bCs/>
              </w:rPr>
            </w:pPr>
          </w:p>
          <w:p w14:paraId="0F064B70" w14:textId="46F1DE46" w:rsidR="004D4275" w:rsidRPr="00164430" w:rsidRDefault="004D4275" w:rsidP="00A0232D">
            <w:pPr>
              <w:pStyle w:val="Heading2"/>
              <w:ind w:right="114"/>
              <w:outlineLvl w:val="1"/>
              <w:rPr>
                <w:rFonts w:asciiTheme="minorHAnsi" w:hAnsiTheme="minorHAnsi" w:cstheme="minorHAnsi"/>
                <w:b/>
                <w:bCs/>
                <w:sz w:val="36"/>
                <w:szCs w:val="36"/>
              </w:rPr>
            </w:pPr>
            <w:r w:rsidRPr="00164430">
              <w:rPr>
                <w:rFonts w:asciiTheme="minorHAnsi" w:hAnsiTheme="minorHAnsi" w:cstheme="minorHAnsi"/>
                <w:b/>
                <w:bCs/>
                <w:sz w:val="36"/>
                <w:szCs w:val="36"/>
              </w:rPr>
              <w:t>It Takes A Village to Establish a New Patent</w:t>
            </w:r>
            <w:r w:rsidR="00703558">
              <w:rPr>
                <w:rFonts w:asciiTheme="minorHAnsi" w:hAnsiTheme="minorHAnsi" w:cstheme="minorHAnsi"/>
                <w:b/>
                <w:bCs/>
                <w:sz w:val="36"/>
                <w:szCs w:val="36"/>
              </w:rPr>
              <w:t>-</w:t>
            </w:r>
            <w:r w:rsidRPr="00164430">
              <w:rPr>
                <w:rFonts w:asciiTheme="minorHAnsi" w:hAnsiTheme="minorHAnsi" w:cstheme="minorHAnsi"/>
                <w:b/>
                <w:bCs/>
                <w:sz w:val="36"/>
                <w:szCs w:val="36"/>
              </w:rPr>
              <w:t>Legal Services Contract</w:t>
            </w:r>
          </w:p>
          <w:p w14:paraId="217F6635" w14:textId="6E0C1AA6" w:rsidR="004D4275" w:rsidRDefault="004D4275" w:rsidP="00E65393">
            <w:pPr>
              <w:pStyle w:val="Subtitle"/>
              <w:framePr w:hSpace="0" w:wrap="auto" w:vAnchor="margin" w:hAnchor="text" w:yAlign="inline"/>
              <w:ind w:right="114"/>
              <w:rPr>
                <w:rFonts w:asciiTheme="minorHAnsi" w:hAnsiTheme="minorHAnsi" w:cstheme="minorHAnsi"/>
              </w:rPr>
            </w:pPr>
            <w:r>
              <w:rPr>
                <w:rFonts w:asciiTheme="minorHAnsi" w:hAnsiTheme="minorHAnsi" w:cstheme="minorHAnsi"/>
              </w:rPr>
              <w:t>Jill Roering, OT</w:t>
            </w:r>
            <w:r w:rsidR="00E65393">
              <w:rPr>
                <w:rFonts w:asciiTheme="minorHAnsi" w:hAnsiTheme="minorHAnsi" w:cstheme="minorHAnsi"/>
              </w:rPr>
              <w:t>T</w:t>
            </w:r>
          </w:p>
          <w:p w14:paraId="1646649D" w14:textId="67BDA5C9" w:rsidR="00E65393" w:rsidRPr="00E65393" w:rsidRDefault="00E65393" w:rsidP="00E65393">
            <w:pPr>
              <w:rPr>
                <w:rFonts w:cstheme="minorHAnsi"/>
                <w:szCs w:val="22"/>
              </w:rPr>
            </w:pPr>
            <w:r w:rsidRPr="00E65393">
              <w:rPr>
                <w:rFonts w:cstheme="minorHAnsi"/>
                <w:szCs w:val="22"/>
              </w:rPr>
              <w:t>As we’re nearing the award of the new Patent-Legal Services Master Contract, we should take the time to thank the many individuals that have participated in the PLS Working Group.  The Working Group began in May 2017 (</w:t>
            </w:r>
            <w:r w:rsidRPr="00E65393">
              <w:rPr>
                <w:rFonts w:cstheme="minorHAnsi"/>
                <w:i/>
                <w:iCs/>
                <w:szCs w:val="22"/>
              </w:rPr>
              <w:t>not a typo</w:t>
            </w:r>
            <w:r w:rsidRPr="00E65393">
              <w:rPr>
                <w:rFonts w:cstheme="minorHAnsi"/>
                <w:szCs w:val="22"/>
              </w:rPr>
              <w:t xml:space="preserve">) and has remained an active working group to date. Please join us in a </w:t>
            </w:r>
            <w:r w:rsidRPr="0076714E">
              <w:rPr>
                <w:rFonts w:cstheme="minorHAnsi"/>
                <w:color w:val="FF0000"/>
                <w:szCs w:val="22"/>
              </w:rPr>
              <w:t>BIG</w:t>
            </w:r>
            <w:r w:rsidRPr="00E65393">
              <w:rPr>
                <w:rFonts w:cstheme="minorHAnsi"/>
                <w:szCs w:val="22"/>
              </w:rPr>
              <w:t xml:space="preserve"> </w:t>
            </w:r>
            <w:r w:rsidR="004E0FE1">
              <w:rPr>
                <w:rFonts w:cstheme="minorHAnsi"/>
                <w:color w:val="FF0000"/>
                <w:szCs w:val="22"/>
              </w:rPr>
              <w:t>ROUND</w:t>
            </w:r>
            <w:r w:rsidRPr="00E65393">
              <w:rPr>
                <w:rFonts w:cstheme="minorHAnsi"/>
                <w:szCs w:val="22"/>
              </w:rPr>
              <w:t xml:space="preserve"> of applause for the following contributors and their hard work and talented efforts. Thanks to these individuals, the NIH tech transfer community will have an effective contract that will support patent prosecution activities for 10 years.</w:t>
            </w:r>
          </w:p>
          <w:p w14:paraId="7AD93920" w14:textId="77777777" w:rsidR="004D4275" w:rsidRPr="004E0FE1" w:rsidRDefault="004D4275" w:rsidP="004D4275">
            <w:pPr>
              <w:rPr>
                <w:rFonts w:cstheme="minorHAnsi"/>
                <w:sz w:val="16"/>
                <w:szCs w:val="16"/>
              </w:rPr>
            </w:pPr>
          </w:p>
          <w:p w14:paraId="5BDB500D" w14:textId="77777777" w:rsidR="004D4275" w:rsidRPr="004E0FE1" w:rsidRDefault="004D4275" w:rsidP="004D4275">
            <w:pPr>
              <w:rPr>
                <w:rFonts w:cstheme="minorHAns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9"/>
              <w:gridCol w:w="266"/>
              <w:gridCol w:w="5184"/>
            </w:tblGrid>
            <w:tr w:rsidR="004D4275" w:rsidRPr="006A1076" w14:paraId="73CBB08C" w14:textId="77777777" w:rsidTr="00842BF5">
              <w:trPr>
                <w:trHeight w:val="420"/>
              </w:trPr>
              <w:tc>
                <w:tcPr>
                  <w:tcW w:w="4649" w:type="dxa"/>
                  <w:shd w:val="clear" w:color="000000" w:fill="A9D08E"/>
                  <w:noWrap/>
                  <w:vAlign w:val="center"/>
                  <w:hideMark/>
                </w:tcPr>
                <w:p w14:paraId="079AF092" w14:textId="77777777" w:rsidR="004D4275" w:rsidRPr="004D4275" w:rsidRDefault="004D4275" w:rsidP="006347C0">
                  <w:pPr>
                    <w:framePr w:hSpace="180" w:wrap="around" w:vAnchor="text" w:hAnchor="margin" w:y="-55"/>
                    <w:ind w:right="738"/>
                    <w:jc w:val="center"/>
                    <w:rPr>
                      <w:rFonts w:cstheme="minorHAnsi"/>
                      <w:b/>
                      <w:bCs/>
                      <w:szCs w:val="22"/>
                    </w:rPr>
                  </w:pPr>
                  <w:r w:rsidRPr="004D4275">
                    <w:rPr>
                      <w:rFonts w:cstheme="minorHAnsi"/>
                      <w:b/>
                      <w:bCs/>
                      <w:szCs w:val="22"/>
                    </w:rPr>
                    <w:t>Patent Contracts Working Group</w:t>
                  </w:r>
                </w:p>
              </w:tc>
              <w:tc>
                <w:tcPr>
                  <w:tcW w:w="266" w:type="dxa"/>
                  <w:shd w:val="clear" w:color="000000" w:fill="A9D08E"/>
                  <w:noWrap/>
                  <w:vAlign w:val="bottom"/>
                  <w:hideMark/>
                </w:tcPr>
                <w:p w14:paraId="5E0BCF74" w14:textId="77777777" w:rsidR="004D4275" w:rsidRPr="004D4275" w:rsidRDefault="004D4275" w:rsidP="006347C0">
                  <w:pPr>
                    <w:framePr w:hSpace="180" w:wrap="around" w:vAnchor="text" w:hAnchor="margin" w:y="-55"/>
                    <w:rPr>
                      <w:rFonts w:cstheme="minorHAnsi"/>
                      <w:b/>
                      <w:bCs/>
                      <w:szCs w:val="22"/>
                    </w:rPr>
                  </w:pPr>
                  <w:r w:rsidRPr="004D4275">
                    <w:rPr>
                      <w:rFonts w:cstheme="minorHAnsi"/>
                      <w:b/>
                      <w:bCs/>
                      <w:szCs w:val="22"/>
                    </w:rPr>
                    <w:t> </w:t>
                  </w:r>
                </w:p>
              </w:tc>
              <w:tc>
                <w:tcPr>
                  <w:tcW w:w="5184" w:type="dxa"/>
                  <w:shd w:val="clear" w:color="000000" w:fill="A9D08E"/>
                  <w:noWrap/>
                  <w:vAlign w:val="center"/>
                  <w:hideMark/>
                </w:tcPr>
                <w:p w14:paraId="06227ABF" w14:textId="77777777" w:rsidR="004D4275" w:rsidRPr="004D4275" w:rsidRDefault="004D4275" w:rsidP="006347C0">
                  <w:pPr>
                    <w:framePr w:hSpace="180" w:wrap="around" w:vAnchor="text" w:hAnchor="margin" w:y="-55"/>
                    <w:jc w:val="center"/>
                    <w:rPr>
                      <w:rFonts w:cstheme="minorHAnsi"/>
                      <w:b/>
                      <w:bCs/>
                      <w:szCs w:val="22"/>
                    </w:rPr>
                  </w:pPr>
                  <w:r w:rsidRPr="004D4275">
                    <w:rPr>
                      <w:rFonts w:cstheme="minorHAnsi"/>
                      <w:b/>
                      <w:bCs/>
                      <w:szCs w:val="22"/>
                    </w:rPr>
                    <w:t xml:space="preserve">IC Representatives </w:t>
                  </w:r>
                  <w:r w:rsidRPr="004D4275">
                    <w:rPr>
                      <w:rFonts w:cstheme="minorHAnsi"/>
                      <w:szCs w:val="22"/>
                    </w:rPr>
                    <w:t>(*Chair and Co-Chair)</w:t>
                  </w:r>
                </w:p>
              </w:tc>
            </w:tr>
            <w:tr w:rsidR="004D4275" w:rsidRPr="006A1076" w14:paraId="419AE378" w14:textId="77777777" w:rsidTr="00842BF5">
              <w:trPr>
                <w:trHeight w:val="1200"/>
              </w:trPr>
              <w:tc>
                <w:tcPr>
                  <w:tcW w:w="4649" w:type="dxa"/>
                  <w:shd w:val="clear" w:color="auto" w:fill="auto"/>
                  <w:noWrap/>
                  <w:vAlign w:val="bottom"/>
                  <w:hideMark/>
                </w:tcPr>
                <w:p w14:paraId="6840EFC8" w14:textId="457B71E6" w:rsidR="004D4275" w:rsidRPr="004D4275" w:rsidRDefault="00E649C4" w:rsidP="006347C0">
                  <w:pPr>
                    <w:framePr w:hSpace="180" w:wrap="around" w:vAnchor="text" w:hAnchor="margin" w:y="-55"/>
                    <w:jc w:val="center"/>
                    <w:rPr>
                      <w:rFonts w:cstheme="minorHAnsi"/>
                      <w:b/>
                      <w:bCs/>
                      <w:szCs w:val="22"/>
                    </w:rPr>
                  </w:pPr>
                  <w:r>
                    <w:rPr>
                      <w:rFonts w:cstheme="minorHAnsi"/>
                      <w:b/>
                      <w:bCs/>
                      <w:noProof/>
                      <w:szCs w:val="22"/>
                    </w:rPr>
                    <w:drawing>
                      <wp:inline distT="0" distB="0" distL="0" distR="0" wp14:anchorId="5F76B994" wp14:editId="66DFB167">
                        <wp:extent cx="2141220" cy="2141220"/>
                        <wp:effectExtent l="304800" t="323850" r="316230" b="316230"/>
                        <wp:docPr id="46" name="Picture 46" descr="C:\Users\fergusos\AppData\Local\Microsoft\Windows\INetCache\Content.MSO\6E9D7E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rgusos\AppData\Local\Microsoft\Windows\INetCache\Content.MSO\6E9D7E79.tmp"/>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41220" cy="21412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tc>
              <w:tc>
                <w:tcPr>
                  <w:tcW w:w="266" w:type="dxa"/>
                  <w:shd w:val="clear" w:color="auto" w:fill="auto"/>
                  <w:noWrap/>
                  <w:vAlign w:val="bottom"/>
                  <w:hideMark/>
                </w:tcPr>
                <w:p w14:paraId="1E3BAE7D"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hideMark/>
                </w:tcPr>
                <w:p w14:paraId="2D73D7E7" w14:textId="77777777" w:rsidR="00120066" w:rsidRDefault="00120066" w:rsidP="006347C0">
                  <w:pPr>
                    <w:framePr w:hSpace="180" w:wrap="around" w:vAnchor="text" w:hAnchor="margin" w:y="-55"/>
                    <w:rPr>
                      <w:rFonts w:cstheme="minorHAnsi"/>
                      <w:color w:val="000000"/>
                      <w:szCs w:val="22"/>
                    </w:rPr>
                  </w:pPr>
                </w:p>
                <w:p w14:paraId="26116A87" w14:textId="578B9764" w:rsidR="00120066" w:rsidRPr="0076714E" w:rsidRDefault="0076714E" w:rsidP="006347C0">
                  <w:pPr>
                    <w:framePr w:hSpace="180" w:wrap="around" w:vAnchor="text" w:hAnchor="margin" w:y="-55"/>
                    <w:rPr>
                      <w:rFonts w:cstheme="minorHAnsi"/>
                      <w:color w:val="000000"/>
                    </w:rPr>
                  </w:pPr>
                  <w:r w:rsidRPr="003D1C00">
                    <w:rPr>
                      <w:rFonts w:cstheme="minorHAnsi"/>
                      <w:color w:val="000000"/>
                      <w:szCs w:val="22"/>
                    </w:rPr>
                    <w:t>Lauren Nguyen-Antczak (NCI), Nora Rivera (OLAO), Louis Kuta (OLAO), Maryann Puglielli (NIAID), Jeff Thomas (NCI), Yun Mei (NIDCR), Sury Vepa (NCATS), Ami Gadhia (NCATS), Sue Ano (NINDS), Michael Shmilovich (NHLBI), Agnes Rooke (NIDDK), John DeVany (NHLBI), Jenny Wong (NIMH), Jill Roering (OD), Eggerton Campbell (NHGRI), Richard Rodriguez (NCI), Kevin Chang (NCI), Earl Smith (OLAO), Charles Salahuddin (NIMH), Andy Burke (NCI), Tim Leahy (OD), Jasmine Yang (NCI), Wade Green (NIAID), Melanie Miller (NCI OA), Haiqing Li (NIAID), Jeff Thurston (NIAID), Nora River (OLAO), Sheryn Etti (OLAO), Lou Kuta, (OLAO), and Shirlene Smith (OLAO)</w:t>
                  </w:r>
                </w:p>
                <w:p w14:paraId="72A1BB49" w14:textId="09329FB5" w:rsidR="00120066" w:rsidRPr="004D4275" w:rsidRDefault="00120066" w:rsidP="006347C0">
                  <w:pPr>
                    <w:framePr w:hSpace="180" w:wrap="around" w:vAnchor="text" w:hAnchor="margin" w:y="-55"/>
                    <w:rPr>
                      <w:rFonts w:cstheme="minorHAnsi"/>
                      <w:color w:val="000000"/>
                      <w:szCs w:val="22"/>
                    </w:rPr>
                  </w:pPr>
                </w:p>
              </w:tc>
            </w:tr>
            <w:tr w:rsidR="004D4275" w:rsidRPr="006A1076" w14:paraId="7A1EC462" w14:textId="77777777" w:rsidTr="00842BF5">
              <w:trPr>
                <w:trHeight w:val="411"/>
              </w:trPr>
              <w:tc>
                <w:tcPr>
                  <w:tcW w:w="4649" w:type="dxa"/>
                  <w:shd w:val="clear" w:color="000000" w:fill="8EA9DB"/>
                  <w:noWrap/>
                  <w:vAlign w:val="center"/>
                  <w:hideMark/>
                </w:tcPr>
                <w:p w14:paraId="1AACB86D" w14:textId="2558AB54" w:rsidR="004D4275" w:rsidRDefault="00AA28B9" w:rsidP="006347C0">
                  <w:pPr>
                    <w:framePr w:hSpace="180" w:wrap="around" w:vAnchor="text" w:hAnchor="margin" w:y="-55"/>
                    <w:jc w:val="center"/>
                    <w:rPr>
                      <w:rFonts w:cstheme="minorHAnsi"/>
                      <w:b/>
                      <w:bCs/>
                      <w:szCs w:val="22"/>
                    </w:rPr>
                  </w:pPr>
                  <w:r w:rsidRPr="004D4275">
                    <w:rPr>
                      <w:rFonts w:cstheme="minorHAnsi"/>
                      <w:b/>
                      <w:bCs/>
                      <w:szCs w:val="22"/>
                    </w:rPr>
                    <w:t>Phase I Sub-Groups (Pre-Solicitation)</w:t>
                  </w:r>
                </w:p>
                <w:p w14:paraId="6E15477C" w14:textId="427EEF3C" w:rsidR="0076714E" w:rsidRPr="004D4275" w:rsidRDefault="0076714E" w:rsidP="006347C0">
                  <w:pPr>
                    <w:framePr w:hSpace="180" w:wrap="around" w:vAnchor="text" w:hAnchor="margin" w:y="-55"/>
                    <w:jc w:val="center"/>
                    <w:rPr>
                      <w:rFonts w:cstheme="minorHAnsi"/>
                      <w:b/>
                      <w:bCs/>
                      <w:szCs w:val="22"/>
                    </w:rPr>
                  </w:pPr>
                </w:p>
              </w:tc>
              <w:tc>
                <w:tcPr>
                  <w:tcW w:w="266" w:type="dxa"/>
                  <w:shd w:val="clear" w:color="000000" w:fill="8EA9DB"/>
                  <w:noWrap/>
                  <w:vAlign w:val="center"/>
                  <w:hideMark/>
                </w:tcPr>
                <w:p w14:paraId="41645888" w14:textId="086C6C2F" w:rsidR="004D4275" w:rsidRPr="004D4275" w:rsidRDefault="004D4275" w:rsidP="006347C0">
                  <w:pPr>
                    <w:framePr w:hSpace="180" w:wrap="around" w:vAnchor="text" w:hAnchor="margin" w:y="-55"/>
                    <w:jc w:val="center"/>
                    <w:rPr>
                      <w:rFonts w:cstheme="minorHAnsi"/>
                      <w:b/>
                      <w:bCs/>
                      <w:szCs w:val="22"/>
                    </w:rPr>
                  </w:pPr>
                </w:p>
              </w:tc>
              <w:tc>
                <w:tcPr>
                  <w:tcW w:w="5184" w:type="dxa"/>
                  <w:shd w:val="clear" w:color="000000" w:fill="8EA9DB"/>
                  <w:noWrap/>
                  <w:vAlign w:val="center"/>
                  <w:hideMark/>
                </w:tcPr>
                <w:p w14:paraId="41A5363E" w14:textId="4016C48D" w:rsidR="004D4275" w:rsidRPr="004D4275" w:rsidRDefault="00AA28B9" w:rsidP="006347C0">
                  <w:pPr>
                    <w:framePr w:hSpace="180" w:wrap="around" w:vAnchor="text" w:hAnchor="margin" w:y="-55"/>
                    <w:jc w:val="center"/>
                    <w:rPr>
                      <w:rFonts w:cstheme="minorHAnsi"/>
                      <w:b/>
                      <w:bCs/>
                      <w:szCs w:val="22"/>
                    </w:rPr>
                  </w:pPr>
                  <w:r w:rsidRPr="004D4275">
                    <w:rPr>
                      <w:rFonts w:cstheme="minorHAnsi"/>
                      <w:b/>
                      <w:bCs/>
                      <w:szCs w:val="22"/>
                    </w:rPr>
                    <w:t xml:space="preserve">IC Representatives </w:t>
                  </w:r>
                  <w:r w:rsidRPr="004D4275">
                    <w:rPr>
                      <w:rFonts w:cstheme="minorHAnsi"/>
                      <w:szCs w:val="22"/>
                    </w:rPr>
                    <w:t>(*Chair and Co-Chair)</w:t>
                  </w:r>
                </w:p>
              </w:tc>
            </w:tr>
            <w:tr w:rsidR="004D4275" w:rsidRPr="006A1076" w14:paraId="0701887B" w14:textId="77777777" w:rsidTr="00842BF5">
              <w:trPr>
                <w:trHeight w:val="276"/>
              </w:trPr>
              <w:tc>
                <w:tcPr>
                  <w:tcW w:w="4649" w:type="dxa"/>
                  <w:shd w:val="clear" w:color="auto" w:fill="auto"/>
                  <w:noWrap/>
                  <w:vAlign w:val="bottom"/>
                  <w:hideMark/>
                </w:tcPr>
                <w:p w14:paraId="0960D7F8" w14:textId="053A269C" w:rsidR="004D4275" w:rsidRPr="004D4275" w:rsidRDefault="004D4275" w:rsidP="006347C0">
                  <w:pPr>
                    <w:framePr w:hSpace="180" w:wrap="around" w:vAnchor="text" w:hAnchor="margin" w:y="-55"/>
                    <w:rPr>
                      <w:rFonts w:cstheme="minorHAnsi"/>
                      <w:szCs w:val="22"/>
                    </w:rPr>
                  </w:pPr>
                  <w:r w:rsidRPr="004D4275">
                    <w:rPr>
                      <w:rFonts w:cstheme="minorHAnsi"/>
                      <w:szCs w:val="22"/>
                    </w:rPr>
                    <w:t>Chair and Co-Chair</w:t>
                  </w:r>
                </w:p>
              </w:tc>
              <w:tc>
                <w:tcPr>
                  <w:tcW w:w="266" w:type="dxa"/>
                  <w:shd w:val="clear" w:color="auto" w:fill="auto"/>
                  <w:noWrap/>
                  <w:vAlign w:val="bottom"/>
                  <w:hideMark/>
                </w:tcPr>
                <w:p w14:paraId="6349FC04"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285604C4"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Lauren Nguyen-Antczak (NCI) and Jeff Thomas (NCI)</w:t>
                  </w:r>
                </w:p>
              </w:tc>
            </w:tr>
            <w:tr w:rsidR="004D4275" w:rsidRPr="006A1076" w14:paraId="1197759D" w14:textId="77777777" w:rsidTr="00842BF5">
              <w:trPr>
                <w:trHeight w:val="276"/>
              </w:trPr>
              <w:tc>
                <w:tcPr>
                  <w:tcW w:w="4649" w:type="dxa"/>
                  <w:shd w:val="clear" w:color="auto" w:fill="auto"/>
                  <w:noWrap/>
                  <w:vAlign w:val="center"/>
                  <w:hideMark/>
                </w:tcPr>
                <w:p w14:paraId="60DD8FC7"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Acquisition Plan</w:t>
                  </w:r>
                </w:p>
              </w:tc>
              <w:tc>
                <w:tcPr>
                  <w:tcW w:w="266" w:type="dxa"/>
                  <w:shd w:val="clear" w:color="auto" w:fill="auto"/>
                  <w:noWrap/>
                  <w:vAlign w:val="bottom"/>
                  <w:hideMark/>
                </w:tcPr>
                <w:p w14:paraId="2EE1AEDE"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22FE51DE"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Nora Rivera (OLAO)*, Lou Kuta (OLAO), Earl Smith (OLAO), Sharon Etti (OLAO)</w:t>
                  </w:r>
                </w:p>
              </w:tc>
            </w:tr>
            <w:tr w:rsidR="004D4275" w:rsidRPr="006A1076" w14:paraId="4CD9B2DF" w14:textId="77777777" w:rsidTr="00842BF5">
              <w:trPr>
                <w:trHeight w:val="276"/>
              </w:trPr>
              <w:tc>
                <w:tcPr>
                  <w:tcW w:w="4649" w:type="dxa"/>
                  <w:shd w:val="clear" w:color="auto" w:fill="auto"/>
                  <w:noWrap/>
                  <w:vAlign w:val="center"/>
                  <w:hideMark/>
                </w:tcPr>
                <w:p w14:paraId="7A87B1D8"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Acquisition Strategy</w:t>
                  </w:r>
                </w:p>
              </w:tc>
              <w:tc>
                <w:tcPr>
                  <w:tcW w:w="266" w:type="dxa"/>
                  <w:shd w:val="clear" w:color="auto" w:fill="auto"/>
                  <w:noWrap/>
                  <w:vAlign w:val="bottom"/>
                  <w:hideMark/>
                </w:tcPr>
                <w:p w14:paraId="42BE92F2"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241821E9"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 xml:space="preserve">Richard Rodriguez (NCI)*, Sue Ano (NINDS)*, Yun Mei (NIDCR), Ami Gadhia (NCATS) </w:t>
                  </w:r>
                </w:p>
              </w:tc>
            </w:tr>
            <w:tr w:rsidR="004D4275" w:rsidRPr="006A1076" w14:paraId="7BF01BFA" w14:textId="77777777" w:rsidTr="00842BF5">
              <w:trPr>
                <w:trHeight w:val="276"/>
              </w:trPr>
              <w:tc>
                <w:tcPr>
                  <w:tcW w:w="4649" w:type="dxa"/>
                  <w:shd w:val="clear" w:color="auto" w:fill="auto"/>
                  <w:noWrap/>
                  <w:vAlign w:val="center"/>
                  <w:hideMark/>
                </w:tcPr>
                <w:p w14:paraId="2D82D954" w14:textId="77777777" w:rsidR="00896AEC" w:rsidRDefault="00896AEC" w:rsidP="006347C0">
                  <w:pPr>
                    <w:framePr w:hSpace="180" w:wrap="around" w:vAnchor="text" w:hAnchor="margin" w:y="-55"/>
                    <w:rPr>
                      <w:rFonts w:cstheme="minorHAnsi"/>
                      <w:szCs w:val="22"/>
                    </w:rPr>
                  </w:pPr>
                </w:p>
                <w:p w14:paraId="0B886626" w14:textId="237DD5E1" w:rsidR="00841FA0" w:rsidRDefault="00896AEC" w:rsidP="006347C0">
                  <w:pPr>
                    <w:framePr w:hSpace="180" w:wrap="around" w:vAnchor="text" w:hAnchor="margin" w:y="-55"/>
                    <w:rPr>
                      <w:rFonts w:cstheme="minorHAnsi"/>
                      <w:szCs w:val="22"/>
                    </w:rPr>
                  </w:pPr>
                  <w:r>
                    <w:rPr>
                      <w:rFonts w:cstheme="minorHAnsi"/>
                      <w:szCs w:val="22"/>
                    </w:rPr>
                    <w:t>Drafting SOW</w:t>
                  </w:r>
                </w:p>
                <w:p w14:paraId="07D11B55" w14:textId="77777777" w:rsidR="00841FA0" w:rsidRDefault="00841FA0" w:rsidP="006347C0">
                  <w:pPr>
                    <w:framePr w:hSpace="180" w:wrap="around" w:vAnchor="text" w:hAnchor="margin" w:y="-55"/>
                    <w:rPr>
                      <w:rFonts w:cstheme="minorHAnsi"/>
                      <w:szCs w:val="22"/>
                    </w:rPr>
                  </w:pPr>
                </w:p>
                <w:p w14:paraId="56AFFCF0" w14:textId="0AC377A1" w:rsidR="00841FA0" w:rsidRPr="00841FA0" w:rsidRDefault="00841FA0" w:rsidP="006347C0">
                  <w:pPr>
                    <w:framePr w:hSpace="180" w:wrap="around" w:vAnchor="text" w:hAnchor="margin" w:y="-55"/>
                    <w:rPr>
                      <w:rFonts w:cstheme="minorHAnsi"/>
                      <w:szCs w:val="22"/>
                    </w:rPr>
                  </w:pPr>
                </w:p>
              </w:tc>
              <w:tc>
                <w:tcPr>
                  <w:tcW w:w="266" w:type="dxa"/>
                  <w:shd w:val="clear" w:color="auto" w:fill="auto"/>
                  <w:noWrap/>
                  <w:vAlign w:val="bottom"/>
                  <w:hideMark/>
                </w:tcPr>
                <w:p w14:paraId="38875A8E"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3BA9CB7C" w14:textId="05D841E3" w:rsidR="004D4275" w:rsidRPr="004D4275" w:rsidRDefault="004D4275" w:rsidP="006347C0">
                  <w:pPr>
                    <w:framePr w:hSpace="180" w:wrap="around" w:vAnchor="text" w:hAnchor="margin" w:y="-55"/>
                    <w:rPr>
                      <w:rFonts w:cstheme="minorHAnsi"/>
                      <w:szCs w:val="22"/>
                    </w:rPr>
                  </w:pPr>
                  <w:r w:rsidRPr="004D4275">
                    <w:rPr>
                      <w:rFonts w:cstheme="minorHAnsi"/>
                      <w:szCs w:val="22"/>
                    </w:rPr>
                    <w:t>Misha Shmilovich (NHLBI)*, Sury Vepa (NCATS), Chuck Niebylski (NIDDK), Agnes Rooke (NIDDK), K</w:t>
                  </w:r>
                  <w:r w:rsidR="00896AEC">
                    <w:rPr>
                      <w:rFonts w:cstheme="minorHAnsi"/>
                      <w:szCs w:val="22"/>
                    </w:rPr>
                    <w:t xml:space="preserve">evin </w:t>
                  </w:r>
                  <w:r w:rsidRPr="004D4275">
                    <w:rPr>
                      <w:rFonts w:cstheme="minorHAnsi"/>
                      <w:szCs w:val="22"/>
                    </w:rPr>
                    <w:t>Chang (NCI)</w:t>
                  </w:r>
                </w:p>
              </w:tc>
            </w:tr>
            <w:tr w:rsidR="004D4275" w:rsidRPr="006A1076" w14:paraId="25DD72BA" w14:textId="77777777" w:rsidTr="00842BF5">
              <w:trPr>
                <w:trHeight w:val="276"/>
              </w:trPr>
              <w:tc>
                <w:tcPr>
                  <w:tcW w:w="4649" w:type="dxa"/>
                  <w:shd w:val="clear" w:color="auto" w:fill="auto"/>
                  <w:noWrap/>
                  <w:vAlign w:val="bottom"/>
                  <w:hideMark/>
                </w:tcPr>
                <w:p w14:paraId="456E2E0C"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Workflow Chart</w:t>
                  </w:r>
                </w:p>
              </w:tc>
              <w:tc>
                <w:tcPr>
                  <w:tcW w:w="266" w:type="dxa"/>
                  <w:shd w:val="clear" w:color="auto" w:fill="auto"/>
                  <w:noWrap/>
                  <w:vAlign w:val="bottom"/>
                  <w:hideMark/>
                </w:tcPr>
                <w:p w14:paraId="2EE94F50"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vAlign w:val="center"/>
                  <w:hideMark/>
                </w:tcPr>
                <w:p w14:paraId="47947871"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Sue Ano (NINDS)* and Maryann Puglielli (NIAID)</w:t>
                  </w:r>
                </w:p>
              </w:tc>
            </w:tr>
            <w:tr w:rsidR="004D4275" w:rsidRPr="006A1076" w14:paraId="34145EA9" w14:textId="77777777" w:rsidTr="00842BF5">
              <w:trPr>
                <w:trHeight w:val="276"/>
              </w:trPr>
              <w:tc>
                <w:tcPr>
                  <w:tcW w:w="4649" w:type="dxa"/>
                  <w:shd w:val="clear" w:color="auto" w:fill="auto"/>
                  <w:noWrap/>
                  <w:vAlign w:val="center"/>
                  <w:hideMark/>
                </w:tcPr>
                <w:p w14:paraId="3B86FDB9"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lastRenderedPageBreak/>
                    <w:t>Marketing Survey and Sources Sought</w:t>
                  </w:r>
                </w:p>
              </w:tc>
              <w:tc>
                <w:tcPr>
                  <w:tcW w:w="266" w:type="dxa"/>
                  <w:shd w:val="clear" w:color="auto" w:fill="auto"/>
                  <w:noWrap/>
                  <w:vAlign w:val="bottom"/>
                  <w:hideMark/>
                </w:tcPr>
                <w:p w14:paraId="44C065DE"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2410D050"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Nora Rivera (OLAO)*, Louis Kuta (OLAO), Earl Smith (OLAO)</w:t>
                  </w:r>
                </w:p>
              </w:tc>
            </w:tr>
            <w:tr w:rsidR="004D4275" w:rsidRPr="006A1076" w14:paraId="79A6B7B2" w14:textId="77777777" w:rsidTr="00842BF5">
              <w:trPr>
                <w:trHeight w:val="276"/>
              </w:trPr>
              <w:tc>
                <w:tcPr>
                  <w:tcW w:w="4649" w:type="dxa"/>
                  <w:shd w:val="clear" w:color="auto" w:fill="auto"/>
                  <w:noWrap/>
                  <w:vAlign w:val="center"/>
                  <w:hideMark/>
                </w:tcPr>
                <w:p w14:paraId="0C804BD2"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Pre-Solicitation Request for Information (RFI)</w:t>
                  </w:r>
                </w:p>
              </w:tc>
              <w:tc>
                <w:tcPr>
                  <w:tcW w:w="266" w:type="dxa"/>
                  <w:shd w:val="clear" w:color="auto" w:fill="auto"/>
                  <w:noWrap/>
                  <w:vAlign w:val="bottom"/>
                  <w:hideMark/>
                </w:tcPr>
                <w:p w14:paraId="30E96346"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04923FD0"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Jenny Wong (NIMH)*, Eggerton Campbell (NHGRI), Nora Rivera (OD), Andy Burke (NCI)</w:t>
                  </w:r>
                </w:p>
              </w:tc>
            </w:tr>
            <w:tr w:rsidR="004D4275" w:rsidRPr="006A1076" w14:paraId="2D16A618" w14:textId="77777777" w:rsidTr="00842BF5">
              <w:trPr>
                <w:trHeight w:val="276"/>
              </w:trPr>
              <w:tc>
                <w:tcPr>
                  <w:tcW w:w="4649" w:type="dxa"/>
                  <w:shd w:val="clear" w:color="auto" w:fill="auto"/>
                  <w:noWrap/>
                  <w:vAlign w:val="bottom"/>
                  <w:hideMark/>
                </w:tcPr>
                <w:p w14:paraId="0BE21D28"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 xml:space="preserve">SharePoint Site Management </w:t>
                  </w:r>
                </w:p>
              </w:tc>
              <w:tc>
                <w:tcPr>
                  <w:tcW w:w="266" w:type="dxa"/>
                  <w:shd w:val="clear" w:color="auto" w:fill="auto"/>
                  <w:noWrap/>
                  <w:vAlign w:val="bottom"/>
                  <w:hideMark/>
                </w:tcPr>
                <w:p w14:paraId="7C8533CF"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vAlign w:val="center"/>
                  <w:hideMark/>
                </w:tcPr>
                <w:p w14:paraId="1D2199D1"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John DeVany (NHLBI)*</w:t>
                  </w:r>
                </w:p>
              </w:tc>
            </w:tr>
            <w:tr w:rsidR="004D4275" w:rsidRPr="006A1076" w14:paraId="3A4B0B5A" w14:textId="77777777" w:rsidTr="00842BF5">
              <w:trPr>
                <w:trHeight w:val="276"/>
              </w:trPr>
              <w:tc>
                <w:tcPr>
                  <w:tcW w:w="4649" w:type="dxa"/>
                  <w:shd w:val="clear" w:color="auto" w:fill="auto"/>
                  <w:noWrap/>
                  <w:vAlign w:val="center"/>
                  <w:hideMark/>
                </w:tcPr>
                <w:p w14:paraId="58EE9EEA"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RFP Review</w:t>
                  </w:r>
                </w:p>
              </w:tc>
              <w:tc>
                <w:tcPr>
                  <w:tcW w:w="266" w:type="dxa"/>
                  <w:shd w:val="clear" w:color="auto" w:fill="auto"/>
                  <w:noWrap/>
                  <w:vAlign w:val="bottom"/>
                  <w:hideMark/>
                </w:tcPr>
                <w:p w14:paraId="555359B0"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79A4973D"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Wade Green (NIAID)*, Agnes Rooke (NIDDK), Sury Vepa (NCATS), Eggerton Campbell (NHGRI), Kevin Chang (NCI)</w:t>
                  </w:r>
                </w:p>
              </w:tc>
            </w:tr>
            <w:tr w:rsidR="004D4275" w:rsidRPr="006A1076" w14:paraId="5E45DF9B" w14:textId="77777777" w:rsidTr="00842BF5">
              <w:trPr>
                <w:trHeight w:val="492"/>
              </w:trPr>
              <w:tc>
                <w:tcPr>
                  <w:tcW w:w="4649" w:type="dxa"/>
                  <w:shd w:val="clear" w:color="auto" w:fill="auto"/>
                  <w:noWrap/>
                  <w:vAlign w:val="center"/>
                  <w:hideMark/>
                </w:tcPr>
                <w:p w14:paraId="6BFF4FD6"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 xml:space="preserve">Performance Assessment  </w:t>
                  </w:r>
                </w:p>
              </w:tc>
              <w:tc>
                <w:tcPr>
                  <w:tcW w:w="266" w:type="dxa"/>
                  <w:shd w:val="clear" w:color="auto" w:fill="auto"/>
                  <w:noWrap/>
                  <w:vAlign w:val="bottom"/>
                  <w:hideMark/>
                </w:tcPr>
                <w:p w14:paraId="3CA6C445"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vAlign w:val="bottom"/>
                  <w:hideMark/>
                </w:tcPr>
                <w:p w14:paraId="64C46AE6"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Lauren Nguyen-Antczak (NCI)*, Eggerton Campbell (NHGRI), Michael Shmilovich (NHLBI), Wade Green (NIAID), Haiqing Li (NIAID), Yun Mei (NIDCR), Jasmine Yang (NCI), Melanie Miller (NCI OA), Tim Leahy (OTT)</w:t>
                  </w:r>
                </w:p>
              </w:tc>
            </w:tr>
            <w:tr w:rsidR="004D4275" w:rsidRPr="006A1076" w14:paraId="7EECA84C" w14:textId="77777777" w:rsidTr="00842BF5">
              <w:trPr>
                <w:trHeight w:val="276"/>
              </w:trPr>
              <w:tc>
                <w:tcPr>
                  <w:tcW w:w="4649" w:type="dxa"/>
                  <w:shd w:val="clear" w:color="auto" w:fill="auto"/>
                  <w:noWrap/>
                  <w:vAlign w:val="center"/>
                  <w:hideMark/>
                </w:tcPr>
                <w:p w14:paraId="39A02649"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 xml:space="preserve">Package Approval </w:t>
                  </w:r>
                </w:p>
              </w:tc>
              <w:tc>
                <w:tcPr>
                  <w:tcW w:w="266" w:type="dxa"/>
                  <w:shd w:val="clear" w:color="auto" w:fill="auto"/>
                  <w:noWrap/>
                  <w:hideMark/>
                </w:tcPr>
                <w:p w14:paraId="4FE9845A"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hideMark/>
                </w:tcPr>
                <w:p w14:paraId="4C8755A0"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Charles Salahuddin (NIMH)*, Sue Ano (NINDS), Andy Burke (NCI), Ami Gadhia (NCATS), Misha Shmilovich (NHLBI)</w:t>
                  </w:r>
                </w:p>
              </w:tc>
            </w:tr>
            <w:tr w:rsidR="004D4275" w:rsidRPr="006A1076" w14:paraId="4CDBA9E1" w14:textId="77777777" w:rsidTr="00842BF5">
              <w:trPr>
                <w:trHeight w:val="459"/>
              </w:trPr>
              <w:tc>
                <w:tcPr>
                  <w:tcW w:w="4649" w:type="dxa"/>
                  <w:shd w:val="clear" w:color="000000" w:fill="C6E0B4"/>
                  <w:noWrap/>
                  <w:vAlign w:val="center"/>
                  <w:hideMark/>
                </w:tcPr>
                <w:p w14:paraId="2EEA0E19" w14:textId="642BA40E" w:rsidR="00AA28B9" w:rsidRDefault="00AA28B9" w:rsidP="006347C0">
                  <w:pPr>
                    <w:framePr w:hSpace="180" w:wrap="around" w:vAnchor="text" w:hAnchor="margin" w:y="-55"/>
                    <w:jc w:val="center"/>
                    <w:rPr>
                      <w:rFonts w:cstheme="minorHAnsi"/>
                      <w:b/>
                      <w:bCs/>
                      <w:color w:val="000000"/>
                      <w:szCs w:val="22"/>
                    </w:rPr>
                  </w:pPr>
                  <w:r w:rsidRPr="004D4275">
                    <w:rPr>
                      <w:rFonts w:cstheme="minorHAnsi"/>
                      <w:b/>
                      <w:bCs/>
                      <w:color w:val="000000"/>
                      <w:szCs w:val="22"/>
                    </w:rPr>
                    <w:t>Phase II Sub-Groups  (Solicitation)</w:t>
                  </w:r>
                </w:p>
                <w:p w14:paraId="58016F42" w14:textId="36514CAA" w:rsidR="0076714E" w:rsidRPr="004D4275" w:rsidRDefault="0076714E" w:rsidP="006347C0">
                  <w:pPr>
                    <w:framePr w:hSpace="180" w:wrap="around" w:vAnchor="text" w:hAnchor="margin" w:y="-55"/>
                    <w:jc w:val="center"/>
                    <w:rPr>
                      <w:rFonts w:cstheme="minorHAnsi"/>
                      <w:b/>
                      <w:bCs/>
                      <w:color w:val="000000"/>
                      <w:szCs w:val="22"/>
                    </w:rPr>
                  </w:pPr>
                </w:p>
              </w:tc>
              <w:tc>
                <w:tcPr>
                  <w:tcW w:w="266" w:type="dxa"/>
                  <w:shd w:val="clear" w:color="000000" w:fill="C6E0B4"/>
                  <w:noWrap/>
                  <w:vAlign w:val="center"/>
                  <w:hideMark/>
                </w:tcPr>
                <w:p w14:paraId="4A16165C" w14:textId="50F8268F" w:rsidR="004D4275" w:rsidRPr="004D4275" w:rsidRDefault="004D4275" w:rsidP="006347C0">
                  <w:pPr>
                    <w:framePr w:hSpace="180" w:wrap="around" w:vAnchor="text" w:hAnchor="margin" w:y="-55"/>
                    <w:jc w:val="center"/>
                    <w:rPr>
                      <w:rFonts w:cstheme="minorHAnsi"/>
                      <w:b/>
                      <w:bCs/>
                      <w:color w:val="000000"/>
                      <w:szCs w:val="22"/>
                    </w:rPr>
                  </w:pPr>
                </w:p>
              </w:tc>
              <w:tc>
                <w:tcPr>
                  <w:tcW w:w="5184" w:type="dxa"/>
                  <w:shd w:val="clear" w:color="000000" w:fill="C6E0B4"/>
                  <w:noWrap/>
                  <w:vAlign w:val="center"/>
                  <w:hideMark/>
                </w:tcPr>
                <w:p w14:paraId="4C64AA07" w14:textId="447F2ADE" w:rsidR="004D4275" w:rsidRPr="004D4275" w:rsidRDefault="00AA28B9" w:rsidP="006347C0">
                  <w:pPr>
                    <w:framePr w:hSpace="180" w:wrap="around" w:vAnchor="text" w:hAnchor="margin" w:y="-55"/>
                    <w:jc w:val="center"/>
                    <w:rPr>
                      <w:rFonts w:cstheme="minorHAnsi"/>
                      <w:b/>
                      <w:bCs/>
                      <w:color w:val="000000"/>
                      <w:szCs w:val="22"/>
                    </w:rPr>
                  </w:pPr>
                  <w:r w:rsidRPr="004D4275">
                    <w:rPr>
                      <w:rFonts w:cstheme="minorHAnsi"/>
                      <w:b/>
                      <w:bCs/>
                      <w:szCs w:val="22"/>
                    </w:rPr>
                    <w:t xml:space="preserve">IC Representatives </w:t>
                  </w:r>
                  <w:r w:rsidRPr="004D4275">
                    <w:rPr>
                      <w:rFonts w:cstheme="minorHAnsi"/>
                      <w:szCs w:val="22"/>
                    </w:rPr>
                    <w:t>(*Chair and Co-Chair)</w:t>
                  </w:r>
                </w:p>
              </w:tc>
            </w:tr>
            <w:tr w:rsidR="004D4275" w:rsidRPr="006A1076" w14:paraId="32390817" w14:textId="77777777" w:rsidTr="00842BF5">
              <w:trPr>
                <w:trHeight w:val="276"/>
              </w:trPr>
              <w:tc>
                <w:tcPr>
                  <w:tcW w:w="4649" w:type="dxa"/>
                  <w:shd w:val="clear" w:color="auto" w:fill="auto"/>
                  <w:noWrap/>
                  <w:vAlign w:val="bottom"/>
                  <w:hideMark/>
                </w:tcPr>
                <w:p w14:paraId="221106B0"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Chair and Co-Chair</w:t>
                  </w:r>
                </w:p>
              </w:tc>
              <w:tc>
                <w:tcPr>
                  <w:tcW w:w="266" w:type="dxa"/>
                  <w:shd w:val="clear" w:color="auto" w:fill="auto"/>
                  <w:noWrap/>
                  <w:vAlign w:val="center"/>
                  <w:hideMark/>
                </w:tcPr>
                <w:p w14:paraId="023A61A3"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14C05993" w14:textId="417829E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Jeff Thomas (NCI)</w:t>
                  </w:r>
                  <w:r w:rsidR="00AA28B9">
                    <w:rPr>
                      <w:rFonts w:cstheme="minorHAnsi"/>
                      <w:color w:val="000000"/>
                      <w:szCs w:val="22"/>
                    </w:rPr>
                    <w:t xml:space="preserve">, </w:t>
                  </w:r>
                  <w:r w:rsidRPr="004D4275">
                    <w:rPr>
                      <w:rFonts w:cstheme="minorHAnsi"/>
                      <w:color w:val="000000"/>
                      <w:szCs w:val="22"/>
                    </w:rPr>
                    <w:t>Maryann Puglielli (NIAID)</w:t>
                  </w:r>
                </w:p>
              </w:tc>
            </w:tr>
            <w:tr w:rsidR="004D4275" w:rsidRPr="006A1076" w14:paraId="5E1A7C43" w14:textId="77777777" w:rsidTr="00842BF5">
              <w:trPr>
                <w:trHeight w:val="276"/>
              </w:trPr>
              <w:tc>
                <w:tcPr>
                  <w:tcW w:w="4649" w:type="dxa"/>
                  <w:shd w:val="clear" w:color="auto" w:fill="auto"/>
                  <w:noWrap/>
                  <w:vAlign w:val="center"/>
                  <w:hideMark/>
                </w:tcPr>
                <w:p w14:paraId="50F820DD"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RFP Review</w:t>
                  </w:r>
                </w:p>
              </w:tc>
              <w:tc>
                <w:tcPr>
                  <w:tcW w:w="266" w:type="dxa"/>
                  <w:shd w:val="clear" w:color="auto" w:fill="auto"/>
                  <w:noWrap/>
                  <w:vAlign w:val="bottom"/>
                  <w:hideMark/>
                </w:tcPr>
                <w:p w14:paraId="5A119533"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center"/>
                  <w:hideMark/>
                </w:tcPr>
                <w:p w14:paraId="6F95BA57"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Wade Green(NIAID)*, Eggerton Campbell (NHGRI), Kevin Chang (NCI), Agnes Rooke (NIDDK), Sury Vepa (NCATS)</w:t>
                  </w:r>
                </w:p>
              </w:tc>
            </w:tr>
            <w:tr w:rsidR="004D4275" w:rsidRPr="006A1076" w14:paraId="12343DC1" w14:textId="77777777" w:rsidTr="00842BF5">
              <w:trPr>
                <w:trHeight w:val="276"/>
              </w:trPr>
              <w:tc>
                <w:tcPr>
                  <w:tcW w:w="4649" w:type="dxa"/>
                  <w:shd w:val="clear" w:color="auto" w:fill="auto"/>
                  <w:noWrap/>
                  <w:vAlign w:val="center"/>
                  <w:hideMark/>
                </w:tcPr>
                <w:p w14:paraId="391DFC78"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 xml:space="preserve">Package Approval </w:t>
                  </w:r>
                </w:p>
              </w:tc>
              <w:tc>
                <w:tcPr>
                  <w:tcW w:w="266" w:type="dxa"/>
                  <w:shd w:val="clear" w:color="auto" w:fill="auto"/>
                  <w:noWrap/>
                  <w:vAlign w:val="bottom"/>
                  <w:hideMark/>
                </w:tcPr>
                <w:p w14:paraId="4E6B512C"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center"/>
                  <w:hideMark/>
                </w:tcPr>
                <w:p w14:paraId="0615ED10"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Charles Salahuddin (NIMH)*, Sue Ano (NINDS), Andy Burke (NCI), Ami Gadhia (NCATS), Misha Shmilovich (NHLBI)</w:t>
                  </w:r>
                </w:p>
              </w:tc>
            </w:tr>
            <w:tr w:rsidR="004D4275" w:rsidRPr="006A1076" w14:paraId="51939A4F" w14:textId="77777777" w:rsidTr="00842BF5">
              <w:trPr>
                <w:trHeight w:val="276"/>
              </w:trPr>
              <w:tc>
                <w:tcPr>
                  <w:tcW w:w="4649" w:type="dxa"/>
                  <w:shd w:val="clear" w:color="auto" w:fill="auto"/>
                  <w:noWrap/>
                  <w:vAlign w:val="center"/>
                  <w:hideMark/>
                </w:tcPr>
                <w:p w14:paraId="7931DEC4"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 xml:space="preserve">Independent Government Cost Estimate (IGCE) </w:t>
                  </w:r>
                </w:p>
              </w:tc>
              <w:tc>
                <w:tcPr>
                  <w:tcW w:w="266" w:type="dxa"/>
                  <w:shd w:val="clear" w:color="auto" w:fill="auto"/>
                  <w:noWrap/>
                  <w:vAlign w:val="bottom"/>
                  <w:hideMark/>
                </w:tcPr>
                <w:p w14:paraId="093BF440"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5C15F638" w14:textId="08F5BB1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Jasmine Yang (NCI)*, Haiqing Li (NIAID), Yun Mei (NIDCR)</w:t>
                  </w:r>
                </w:p>
              </w:tc>
            </w:tr>
            <w:tr w:rsidR="004D4275" w:rsidRPr="006A1076" w14:paraId="7D58B1D7" w14:textId="77777777" w:rsidTr="00842BF5">
              <w:trPr>
                <w:trHeight w:val="276"/>
              </w:trPr>
              <w:tc>
                <w:tcPr>
                  <w:tcW w:w="4649" w:type="dxa"/>
                  <w:shd w:val="clear" w:color="auto" w:fill="auto"/>
                  <w:noWrap/>
                  <w:vAlign w:val="bottom"/>
                  <w:hideMark/>
                </w:tcPr>
                <w:p w14:paraId="2693ABFB"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Performance Assessment</w:t>
                  </w:r>
                </w:p>
              </w:tc>
              <w:tc>
                <w:tcPr>
                  <w:tcW w:w="266" w:type="dxa"/>
                  <w:shd w:val="clear" w:color="auto" w:fill="auto"/>
                  <w:noWrap/>
                  <w:vAlign w:val="bottom"/>
                  <w:hideMark/>
                </w:tcPr>
                <w:p w14:paraId="0A398983"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5C5D2B73"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Lauren Nguyen-Antczak (NCI)*</w:t>
                  </w:r>
                </w:p>
              </w:tc>
            </w:tr>
            <w:tr w:rsidR="004D4275" w:rsidRPr="006A1076" w14:paraId="52329EED" w14:textId="77777777" w:rsidTr="00842BF5">
              <w:trPr>
                <w:trHeight w:val="276"/>
              </w:trPr>
              <w:tc>
                <w:tcPr>
                  <w:tcW w:w="4649" w:type="dxa"/>
                  <w:shd w:val="clear" w:color="auto" w:fill="auto"/>
                  <w:noWrap/>
                  <w:vAlign w:val="bottom"/>
                  <w:hideMark/>
                </w:tcPr>
                <w:p w14:paraId="4EAB87DB"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Ramp-On/Ramp-Off</w:t>
                  </w:r>
                </w:p>
              </w:tc>
              <w:tc>
                <w:tcPr>
                  <w:tcW w:w="266" w:type="dxa"/>
                  <w:shd w:val="clear" w:color="auto" w:fill="auto"/>
                  <w:noWrap/>
                  <w:vAlign w:val="bottom"/>
                  <w:hideMark/>
                </w:tcPr>
                <w:p w14:paraId="2587B50D"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62397B0D"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Maryann Puglielli* (NIAID)</w:t>
                  </w:r>
                </w:p>
              </w:tc>
            </w:tr>
            <w:tr w:rsidR="004D4275" w:rsidRPr="006A1076" w14:paraId="7DD2155E" w14:textId="77777777" w:rsidTr="00842BF5">
              <w:trPr>
                <w:trHeight w:val="276"/>
              </w:trPr>
              <w:tc>
                <w:tcPr>
                  <w:tcW w:w="4649" w:type="dxa"/>
                  <w:shd w:val="clear" w:color="auto" w:fill="auto"/>
                  <w:noWrap/>
                  <w:vAlign w:val="center"/>
                  <w:hideMark/>
                </w:tcPr>
                <w:p w14:paraId="7B07D7F0"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Acquisition Plan</w:t>
                  </w:r>
                </w:p>
              </w:tc>
              <w:tc>
                <w:tcPr>
                  <w:tcW w:w="266" w:type="dxa"/>
                  <w:shd w:val="clear" w:color="auto" w:fill="auto"/>
                  <w:noWrap/>
                  <w:vAlign w:val="bottom"/>
                  <w:hideMark/>
                </w:tcPr>
                <w:p w14:paraId="76F41D54"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0E160532"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Nora Rivera(OLAO)*, Louis Kuta (OLAO), and Earl Smith (OLAO)</w:t>
                  </w:r>
                </w:p>
              </w:tc>
            </w:tr>
            <w:tr w:rsidR="004D4275" w:rsidRPr="006A1076" w14:paraId="576DA4B5" w14:textId="77777777" w:rsidTr="00842BF5">
              <w:trPr>
                <w:trHeight w:val="276"/>
              </w:trPr>
              <w:tc>
                <w:tcPr>
                  <w:tcW w:w="4649" w:type="dxa"/>
                  <w:shd w:val="clear" w:color="auto" w:fill="auto"/>
                  <w:noWrap/>
                  <w:vAlign w:val="center"/>
                  <w:hideMark/>
                </w:tcPr>
                <w:p w14:paraId="7F8ABEEA"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Acquisition Strategy Plan</w:t>
                  </w:r>
                </w:p>
              </w:tc>
              <w:tc>
                <w:tcPr>
                  <w:tcW w:w="266" w:type="dxa"/>
                  <w:shd w:val="clear" w:color="auto" w:fill="auto"/>
                  <w:noWrap/>
                  <w:vAlign w:val="bottom"/>
                  <w:hideMark/>
                </w:tcPr>
                <w:p w14:paraId="08CB1C4F"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7309BB91" w14:textId="24E4D96E"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Richard Rodriguez (NCI)* and Sue Ano (NINDS)*, Yun Mei (NIDCR), Ami Gadhia (NCATS),</w:t>
                  </w:r>
                  <w:r w:rsidR="007F1DF3">
                    <w:rPr>
                      <w:rFonts w:cstheme="minorHAnsi"/>
                      <w:color w:val="000000"/>
                      <w:szCs w:val="22"/>
                    </w:rPr>
                    <w:t xml:space="preserve"> </w:t>
                  </w:r>
                  <w:r w:rsidRPr="004D4275">
                    <w:rPr>
                      <w:rFonts w:cstheme="minorHAnsi"/>
                      <w:color w:val="000000"/>
                      <w:szCs w:val="22"/>
                    </w:rPr>
                    <w:t>Jeff Thomas (NCI)</w:t>
                  </w:r>
                </w:p>
              </w:tc>
            </w:tr>
            <w:tr w:rsidR="004D4275" w:rsidRPr="006A1076" w14:paraId="22141A56" w14:textId="77777777" w:rsidTr="00842BF5">
              <w:trPr>
                <w:trHeight w:val="276"/>
              </w:trPr>
              <w:tc>
                <w:tcPr>
                  <w:tcW w:w="4649" w:type="dxa"/>
                  <w:shd w:val="clear" w:color="auto" w:fill="auto"/>
                  <w:noWrap/>
                  <w:vAlign w:val="bottom"/>
                  <w:hideMark/>
                </w:tcPr>
                <w:p w14:paraId="2454977C"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Draft RFP</w:t>
                  </w:r>
                </w:p>
              </w:tc>
              <w:tc>
                <w:tcPr>
                  <w:tcW w:w="266" w:type="dxa"/>
                  <w:shd w:val="clear" w:color="auto" w:fill="auto"/>
                  <w:noWrap/>
                  <w:vAlign w:val="bottom"/>
                  <w:hideMark/>
                </w:tcPr>
                <w:p w14:paraId="5C4440D1"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41778AC9"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Nora Rivera(OLAO)* and Louis Kuta (OLAO)</w:t>
                  </w:r>
                </w:p>
              </w:tc>
            </w:tr>
            <w:tr w:rsidR="004D4275" w:rsidRPr="006A1076" w14:paraId="44AC9C77" w14:textId="77777777" w:rsidTr="00842BF5">
              <w:trPr>
                <w:trHeight w:val="276"/>
              </w:trPr>
              <w:tc>
                <w:tcPr>
                  <w:tcW w:w="4649" w:type="dxa"/>
                  <w:shd w:val="clear" w:color="auto" w:fill="auto"/>
                  <w:noWrap/>
                  <w:vAlign w:val="bottom"/>
                  <w:hideMark/>
                </w:tcPr>
                <w:p w14:paraId="78431C7F"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Pre-Solicitation Notice</w:t>
                  </w:r>
                </w:p>
              </w:tc>
              <w:tc>
                <w:tcPr>
                  <w:tcW w:w="266" w:type="dxa"/>
                  <w:shd w:val="clear" w:color="auto" w:fill="auto"/>
                  <w:noWrap/>
                  <w:vAlign w:val="bottom"/>
                  <w:hideMark/>
                </w:tcPr>
                <w:p w14:paraId="41A92A60"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11CB70A1"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Nora Rivera(OLAO)* and Louis Kuta (OLAO)</w:t>
                  </w:r>
                </w:p>
              </w:tc>
            </w:tr>
            <w:tr w:rsidR="004D4275" w:rsidRPr="006A1076" w14:paraId="34178603" w14:textId="77777777" w:rsidTr="00842BF5">
              <w:trPr>
                <w:trHeight w:val="276"/>
              </w:trPr>
              <w:tc>
                <w:tcPr>
                  <w:tcW w:w="4649" w:type="dxa"/>
                  <w:shd w:val="clear" w:color="auto" w:fill="auto"/>
                  <w:noWrap/>
                  <w:vAlign w:val="center"/>
                  <w:hideMark/>
                </w:tcPr>
                <w:p w14:paraId="2CFB621D"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Small Business</w:t>
                  </w:r>
                </w:p>
              </w:tc>
              <w:tc>
                <w:tcPr>
                  <w:tcW w:w="266" w:type="dxa"/>
                  <w:shd w:val="clear" w:color="auto" w:fill="auto"/>
                  <w:noWrap/>
                  <w:vAlign w:val="bottom"/>
                  <w:hideMark/>
                </w:tcPr>
                <w:p w14:paraId="42EFC70E"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03B439BC"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Kevin Chang (NCI)*, Sury Vepa (NCATS), and Eggerton Campbell (NHGRI)</w:t>
                  </w:r>
                </w:p>
              </w:tc>
            </w:tr>
            <w:tr w:rsidR="004D4275" w:rsidRPr="006A1076" w14:paraId="166AB2A8" w14:textId="77777777" w:rsidTr="00842BF5">
              <w:trPr>
                <w:trHeight w:val="531"/>
              </w:trPr>
              <w:tc>
                <w:tcPr>
                  <w:tcW w:w="4649" w:type="dxa"/>
                  <w:shd w:val="clear" w:color="000000" w:fill="B4C6E7"/>
                  <w:noWrap/>
                  <w:vAlign w:val="center"/>
                  <w:hideMark/>
                </w:tcPr>
                <w:p w14:paraId="057CFB15" w14:textId="247237E1" w:rsidR="004D4275" w:rsidRPr="004D4275" w:rsidRDefault="00AA28B9" w:rsidP="006347C0">
                  <w:pPr>
                    <w:framePr w:hSpace="180" w:wrap="around" w:vAnchor="text" w:hAnchor="margin" w:y="-55"/>
                    <w:jc w:val="center"/>
                    <w:rPr>
                      <w:rFonts w:cstheme="minorHAnsi"/>
                      <w:b/>
                      <w:bCs/>
                      <w:color w:val="000000"/>
                      <w:szCs w:val="22"/>
                    </w:rPr>
                  </w:pPr>
                  <w:r w:rsidRPr="004D4275">
                    <w:rPr>
                      <w:rFonts w:cstheme="minorHAnsi"/>
                      <w:b/>
                      <w:bCs/>
                      <w:color w:val="000000"/>
                      <w:szCs w:val="22"/>
                    </w:rPr>
                    <w:t>Phase III Sub-Group (Evaluation)</w:t>
                  </w:r>
                </w:p>
              </w:tc>
              <w:tc>
                <w:tcPr>
                  <w:tcW w:w="266" w:type="dxa"/>
                  <w:shd w:val="clear" w:color="000000" w:fill="B4C6E7"/>
                  <w:noWrap/>
                  <w:vAlign w:val="center"/>
                  <w:hideMark/>
                </w:tcPr>
                <w:p w14:paraId="26B90DE0" w14:textId="77777777" w:rsidR="004D4275" w:rsidRPr="004D4275" w:rsidRDefault="004D4275" w:rsidP="006347C0">
                  <w:pPr>
                    <w:framePr w:hSpace="180" w:wrap="around" w:vAnchor="text" w:hAnchor="margin" w:y="-55"/>
                    <w:rPr>
                      <w:rFonts w:cstheme="minorHAnsi"/>
                      <w:b/>
                      <w:bCs/>
                      <w:color w:val="000000"/>
                      <w:szCs w:val="22"/>
                    </w:rPr>
                  </w:pPr>
                  <w:r w:rsidRPr="004D4275">
                    <w:rPr>
                      <w:rFonts w:cstheme="minorHAnsi"/>
                      <w:b/>
                      <w:bCs/>
                      <w:color w:val="000000"/>
                      <w:szCs w:val="22"/>
                    </w:rPr>
                    <w:t> </w:t>
                  </w:r>
                </w:p>
              </w:tc>
              <w:tc>
                <w:tcPr>
                  <w:tcW w:w="5184" w:type="dxa"/>
                  <w:shd w:val="clear" w:color="000000" w:fill="B4C6E7"/>
                  <w:noWrap/>
                  <w:vAlign w:val="center"/>
                  <w:hideMark/>
                </w:tcPr>
                <w:p w14:paraId="24561B86" w14:textId="319CDDEF" w:rsidR="004D4275" w:rsidRPr="004D4275" w:rsidRDefault="00AA28B9" w:rsidP="006347C0">
                  <w:pPr>
                    <w:framePr w:hSpace="180" w:wrap="around" w:vAnchor="text" w:hAnchor="margin" w:y="-55"/>
                    <w:jc w:val="center"/>
                    <w:rPr>
                      <w:rFonts w:cstheme="minorHAnsi"/>
                      <w:b/>
                      <w:bCs/>
                      <w:color w:val="000000"/>
                      <w:szCs w:val="22"/>
                    </w:rPr>
                  </w:pPr>
                  <w:r w:rsidRPr="004D4275">
                    <w:rPr>
                      <w:rFonts w:cstheme="minorHAnsi"/>
                      <w:b/>
                      <w:bCs/>
                      <w:szCs w:val="22"/>
                    </w:rPr>
                    <w:t xml:space="preserve">IC Representatives </w:t>
                  </w:r>
                  <w:r w:rsidRPr="004D4275">
                    <w:rPr>
                      <w:rFonts w:cstheme="minorHAnsi"/>
                      <w:szCs w:val="22"/>
                    </w:rPr>
                    <w:t>(*Chair and Co-Chair)</w:t>
                  </w:r>
                </w:p>
              </w:tc>
            </w:tr>
            <w:tr w:rsidR="004D4275" w:rsidRPr="006A1076" w14:paraId="09BF8EC7" w14:textId="77777777" w:rsidTr="00842BF5">
              <w:trPr>
                <w:trHeight w:val="276"/>
              </w:trPr>
              <w:tc>
                <w:tcPr>
                  <w:tcW w:w="4649" w:type="dxa"/>
                  <w:shd w:val="clear" w:color="auto" w:fill="auto"/>
                  <w:noWrap/>
                  <w:vAlign w:val="bottom"/>
                  <w:hideMark/>
                </w:tcPr>
                <w:p w14:paraId="16549BBE" w14:textId="77777777" w:rsidR="004D4275" w:rsidRPr="004D4275" w:rsidRDefault="004D4275" w:rsidP="006347C0">
                  <w:pPr>
                    <w:framePr w:hSpace="180" w:wrap="around" w:vAnchor="text" w:hAnchor="margin" w:y="-55"/>
                    <w:rPr>
                      <w:rFonts w:cstheme="minorHAnsi"/>
                      <w:szCs w:val="22"/>
                    </w:rPr>
                  </w:pPr>
                  <w:r w:rsidRPr="004D4275">
                    <w:rPr>
                      <w:rFonts w:cstheme="minorHAnsi"/>
                      <w:szCs w:val="22"/>
                    </w:rPr>
                    <w:t>Chair and Co-Chair</w:t>
                  </w:r>
                </w:p>
              </w:tc>
              <w:tc>
                <w:tcPr>
                  <w:tcW w:w="266" w:type="dxa"/>
                  <w:shd w:val="clear" w:color="auto" w:fill="auto"/>
                  <w:noWrap/>
                  <w:vAlign w:val="center"/>
                  <w:hideMark/>
                </w:tcPr>
                <w:p w14:paraId="46E79127" w14:textId="77777777" w:rsidR="004D4275" w:rsidRPr="004D4275" w:rsidRDefault="004D4275" w:rsidP="006347C0">
                  <w:pPr>
                    <w:framePr w:hSpace="180" w:wrap="around" w:vAnchor="text" w:hAnchor="margin" w:y="-55"/>
                    <w:rPr>
                      <w:rFonts w:cstheme="minorHAnsi"/>
                      <w:szCs w:val="22"/>
                    </w:rPr>
                  </w:pPr>
                </w:p>
              </w:tc>
              <w:tc>
                <w:tcPr>
                  <w:tcW w:w="5184" w:type="dxa"/>
                  <w:shd w:val="clear" w:color="auto" w:fill="auto"/>
                  <w:noWrap/>
                  <w:vAlign w:val="bottom"/>
                  <w:hideMark/>
                </w:tcPr>
                <w:p w14:paraId="3CB869CC"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Maryann Puglielli (NIAID) and Jill Roering (OTT)</w:t>
                  </w:r>
                </w:p>
              </w:tc>
            </w:tr>
            <w:tr w:rsidR="004D4275" w:rsidRPr="006A1076" w14:paraId="48B30462" w14:textId="77777777" w:rsidTr="00842BF5">
              <w:trPr>
                <w:trHeight w:val="732"/>
              </w:trPr>
              <w:tc>
                <w:tcPr>
                  <w:tcW w:w="4649" w:type="dxa"/>
                  <w:shd w:val="clear" w:color="auto" w:fill="auto"/>
                  <w:noWrap/>
                  <w:vAlign w:val="center"/>
                  <w:hideMark/>
                </w:tcPr>
                <w:p w14:paraId="14D52FB4"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Law Firm Performance Assessment</w:t>
                  </w:r>
                </w:p>
              </w:tc>
              <w:tc>
                <w:tcPr>
                  <w:tcW w:w="266" w:type="dxa"/>
                  <w:shd w:val="clear" w:color="auto" w:fill="auto"/>
                  <w:noWrap/>
                  <w:vAlign w:val="bottom"/>
                  <w:hideMark/>
                </w:tcPr>
                <w:p w14:paraId="5193C3D6"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vAlign w:val="bottom"/>
                  <w:hideMark/>
                </w:tcPr>
                <w:p w14:paraId="2CCCD278" w14:textId="434A9339"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Lauren Nguyen-Antczak (NCI)*, Jenish Patel (NIAID)*, Eggerton Campbell (NHGRI), Wade Green (NIAID), Tim Leahy (OTT), Haiqing Li (NIAID), Melanie Miller (NCI), Misha Shmilovich (NHLBI), Jasmine Yang (NCI), Brandie Taylor (NIAID), Lawrence Solomon (NIAID)</w:t>
                  </w:r>
                  <w:r w:rsidR="004E0FE1">
                    <w:rPr>
                      <w:rFonts w:cstheme="minorHAnsi"/>
                      <w:color w:val="000000"/>
                      <w:szCs w:val="22"/>
                    </w:rPr>
                    <w:t>,</w:t>
                  </w:r>
                  <w:r w:rsidR="00E649C4">
                    <w:rPr>
                      <w:rFonts w:cstheme="minorHAnsi"/>
                      <w:color w:val="000000"/>
                      <w:szCs w:val="22"/>
                    </w:rPr>
                    <w:t xml:space="preserve"> </w:t>
                  </w:r>
                  <w:r w:rsidRPr="004D4275">
                    <w:rPr>
                      <w:rFonts w:cstheme="minorHAnsi"/>
                      <w:color w:val="000000"/>
                      <w:szCs w:val="22"/>
                    </w:rPr>
                    <w:t>Bill Bigelow (OT</w:t>
                  </w:r>
                  <w:r w:rsidR="007F1DF3">
                    <w:rPr>
                      <w:rFonts w:cstheme="minorHAnsi"/>
                      <w:color w:val="000000"/>
                      <w:szCs w:val="22"/>
                    </w:rPr>
                    <w:t>T)</w:t>
                  </w:r>
                </w:p>
              </w:tc>
            </w:tr>
            <w:tr w:rsidR="004D4275" w:rsidRPr="006A1076" w14:paraId="40C6ED1D" w14:textId="77777777" w:rsidTr="00842BF5">
              <w:trPr>
                <w:trHeight w:val="276"/>
              </w:trPr>
              <w:tc>
                <w:tcPr>
                  <w:tcW w:w="4649" w:type="dxa"/>
                  <w:shd w:val="clear" w:color="auto" w:fill="auto"/>
                  <w:noWrap/>
                  <w:vAlign w:val="center"/>
                  <w:hideMark/>
                </w:tcPr>
                <w:p w14:paraId="16BC05AF"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Ramp On/Ramp Off</w:t>
                  </w:r>
                </w:p>
              </w:tc>
              <w:tc>
                <w:tcPr>
                  <w:tcW w:w="266" w:type="dxa"/>
                  <w:shd w:val="clear" w:color="auto" w:fill="auto"/>
                  <w:noWrap/>
                  <w:vAlign w:val="bottom"/>
                  <w:hideMark/>
                </w:tcPr>
                <w:p w14:paraId="4632DB7F"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281B7792" w14:textId="536309C2"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Maryann Puglielli (NIAID)*, Sury Vepa (NCATS), Kevin Chang (NCI)</w:t>
                  </w:r>
                </w:p>
              </w:tc>
            </w:tr>
            <w:tr w:rsidR="004D4275" w:rsidRPr="006A1076" w14:paraId="4CCE2437" w14:textId="77777777" w:rsidTr="00842BF5">
              <w:trPr>
                <w:trHeight w:val="276"/>
              </w:trPr>
              <w:tc>
                <w:tcPr>
                  <w:tcW w:w="4649" w:type="dxa"/>
                  <w:shd w:val="clear" w:color="auto" w:fill="auto"/>
                  <w:noWrap/>
                  <w:vAlign w:val="center"/>
                  <w:hideMark/>
                </w:tcPr>
                <w:p w14:paraId="2A83398B"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Acquisition Process: Evaluation of Proposals</w:t>
                  </w:r>
                </w:p>
              </w:tc>
              <w:tc>
                <w:tcPr>
                  <w:tcW w:w="266" w:type="dxa"/>
                  <w:shd w:val="clear" w:color="auto" w:fill="auto"/>
                  <w:noWrap/>
                  <w:vAlign w:val="bottom"/>
                  <w:hideMark/>
                </w:tcPr>
                <w:p w14:paraId="07435255"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4CAFB6A2" w14:textId="77777777" w:rsidR="004E0FE1" w:rsidRDefault="004D4275" w:rsidP="006347C0">
                  <w:pPr>
                    <w:framePr w:hSpace="180" w:wrap="around" w:vAnchor="text" w:hAnchor="margin" w:y="-55"/>
                    <w:rPr>
                      <w:rFonts w:cstheme="minorHAnsi"/>
                      <w:color w:val="000000"/>
                      <w:szCs w:val="22"/>
                    </w:rPr>
                  </w:pPr>
                  <w:r w:rsidRPr="004D4275">
                    <w:rPr>
                      <w:rFonts w:cstheme="minorHAnsi"/>
                      <w:color w:val="000000"/>
                      <w:szCs w:val="22"/>
                    </w:rPr>
                    <w:t xml:space="preserve">COs: Nora Rivera, Lou Kuta   COR: Jill Roering    </w:t>
                  </w:r>
                </w:p>
                <w:p w14:paraId="3CBA2946" w14:textId="459F13CF"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PLS WG Chair: Maryann Puglielli</w:t>
                  </w:r>
                </w:p>
              </w:tc>
            </w:tr>
            <w:tr w:rsidR="004D4275" w:rsidRPr="006A1076" w14:paraId="226538A9" w14:textId="77777777" w:rsidTr="00842BF5">
              <w:trPr>
                <w:trHeight w:val="276"/>
              </w:trPr>
              <w:tc>
                <w:tcPr>
                  <w:tcW w:w="4649" w:type="dxa"/>
                  <w:shd w:val="clear" w:color="auto" w:fill="auto"/>
                  <w:noWrap/>
                  <w:vAlign w:val="center"/>
                  <w:hideMark/>
                </w:tcPr>
                <w:p w14:paraId="1B503E41"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lastRenderedPageBreak/>
                    <w:t>Acquisition Process: Negotiations</w:t>
                  </w:r>
                </w:p>
              </w:tc>
              <w:tc>
                <w:tcPr>
                  <w:tcW w:w="266" w:type="dxa"/>
                  <w:shd w:val="clear" w:color="auto" w:fill="auto"/>
                  <w:noWrap/>
                  <w:vAlign w:val="bottom"/>
                  <w:hideMark/>
                </w:tcPr>
                <w:p w14:paraId="70710925"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3B78BFDC"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COs: Nora Rivera, Lou Kuta   COR: Jill Roering    PLS WG Chair: Maryann Puglielli</w:t>
                  </w:r>
                </w:p>
              </w:tc>
            </w:tr>
            <w:tr w:rsidR="004D4275" w:rsidRPr="006A1076" w14:paraId="07BA9617" w14:textId="77777777" w:rsidTr="00842BF5">
              <w:trPr>
                <w:trHeight w:val="276"/>
              </w:trPr>
              <w:tc>
                <w:tcPr>
                  <w:tcW w:w="4649" w:type="dxa"/>
                  <w:shd w:val="clear" w:color="auto" w:fill="auto"/>
                  <w:noWrap/>
                  <w:vAlign w:val="center"/>
                  <w:hideMark/>
                </w:tcPr>
                <w:p w14:paraId="203B67CA"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Acquisition Process: Pre-Award Activities</w:t>
                  </w:r>
                </w:p>
              </w:tc>
              <w:tc>
                <w:tcPr>
                  <w:tcW w:w="266" w:type="dxa"/>
                  <w:shd w:val="clear" w:color="auto" w:fill="auto"/>
                  <w:noWrap/>
                  <w:vAlign w:val="bottom"/>
                  <w:hideMark/>
                </w:tcPr>
                <w:p w14:paraId="2209734C"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5F98E5F3" w14:textId="77777777" w:rsidR="004D4275" w:rsidRPr="004D4275" w:rsidRDefault="004D4275" w:rsidP="006347C0">
                  <w:pPr>
                    <w:framePr w:hSpace="180" w:wrap="around" w:vAnchor="text" w:hAnchor="margin" w:y="-55"/>
                    <w:rPr>
                      <w:rFonts w:cstheme="minorHAnsi"/>
                      <w:color w:val="000000"/>
                      <w:szCs w:val="22"/>
                    </w:rPr>
                  </w:pPr>
                  <w:r w:rsidRPr="004D4275">
                    <w:rPr>
                      <w:rFonts w:cstheme="minorHAnsi"/>
                      <w:color w:val="000000"/>
                      <w:szCs w:val="22"/>
                    </w:rPr>
                    <w:t>COs: Nora Rivera, Lou Kuta   COR: Jill Roering    PLS WG Chair: Maryann Puglielli</w:t>
                  </w:r>
                </w:p>
              </w:tc>
            </w:tr>
            <w:tr w:rsidR="004D4275" w:rsidRPr="006A1076" w14:paraId="5BDF288C" w14:textId="77777777" w:rsidTr="00842BF5">
              <w:trPr>
                <w:trHeight w:val="492"/>
              </w:trPr>
              <w:tc>
                <w:tcPr>
                  <w:tcW w:w="4649" w:type="dxa"/>
                  <w:shd w:val="clear" w:color="auto" w:fill="auto"/>
                  <w:vAlign w:val="bottom"/>
                  <w:hideMark/>
                </w:tcPr>
                <w:p w14:paraId="6B4EDF59" w14:textId="77777777" w:rsidR="00E649C4" w:rsidRPr="00E649C4" w:rsidRDefault="004D4275" w:rsidP="006347C0">
                  <w:pPr>
                    <w:framePr w:hSpace="180" w:wrap="around" w:vAnchor="text" w:hAnchor="margin" w:y="-55"/>
                    <w:rPr>
                      <w:rFonts w:cstheme="minorHAnsi"/>
                      <w:color w:val="000000"/>
                      <w:szCs w:val="22"/>
                    </w:rPr>
                  </w:pPr>
                  <w:r w:rsidRPr="00E649C4">
                    <w:rPr>
                      <w:rFonts w:cstheme="minorHAnsi"/>
                      <w:color w:val="000000"/>
                      <w:szCs w:val="22"/>
                    </w:rPr>
                    <w:t>Technical Evaluation Panels</w:t>
                  </w:r>
                  <w:r w:rsidR="00E649C4" w:rsidRPr="00E649C4">
                    <w:rPr>
                      <w:rFonts w:cstheme="minorHAnsi"/>
                      <w:color w:val="000000"/>
                      <w:szCs w:val="22"/>
                    </w:rPr>
                    <w:t>:</w:t>
                  </w:r>
                </w:p>
                <w:p w14:paraId="5D6F12AB" w14:textId="5DCA4786" w:rsidR="00E649C4" w:rsidRPr="00E649C4" w:rsidRDefault="004D4275" w:rsidP="006347C0">
                  <w:pPr>
                    <w:pStyle w:val="ListParagraph"/>
                    <w:framePr w:hSpace="180" w:wrap="around" w:vAnchor="text" w:hAnchor="margin" w:y="-55"/>
                    <w:numPr>
                      <w:ilvl w:val="0"/>
                      <w:numId w:val="29"/>
                    </w:numPr>
                    <w:rPr>
                      <w:rFonts w:cstheme="minorHAnsi"/>
                      <w:color w:val="000000"/>
                      <w:szCs w:val="22"/>
                    </w:rPr>
                  </w:pPr>
                  <w:r w:rsidRPr="00E649C4">
                    <w:rPr>
                      <w:rFonts w:cstheme="minorHAnsi"/>
                      <w:color w:val="000000"/>
                      <w:szCs w:val="22"/>
                    </w:rPr>
                    <w:t>Biotechnology</w:t>
                  </w:r>
                </w:p>
                <w:p w14:paraId="17E0C607" w14:textId="218D0925" w:rsidR="00E649C4" w:rsidRPr="00E649C4" w:rsidRDefault="004D4275" w:rsidP="006347C0">
                  <w:pPr>
                    <w:pStyle w:val="ListParagraph"/>
                    <w:framePr w:hSpace="180" w:wrap="around" w:vAnchor="text" w:hAnchor="margin" w:y="-55"/>
                    <w:numPr>
                      <w:ilvl w:val="0"/>
                      <w:numId w:val="29"/>
                    </w:numPr>
                    <w:rPr>
                      <w:rFonts w:cstheme="minorHAnsi"/>
                      <w:color w:val="000000"/>
                      <w:szCs w:val="22"/>
                    </w:rPr>
                  </w:pPr>
                  <w:r w:rsidRPr="00E649C4">
                    <w:rPr>
                      <w:rFonts w:cstheme="minorHAnsi"/>
                      <w:color w:val="000000"/>
                      <w:szCs w:val="22"/>
                    </w:rPr>
                    <w:t>Chemistry</w:t>
                  </w:r>
                </w:p>
                <w:p w14:paraId="410DB41D" w14:textId="77777777" w:rsidR="00E649C4" w:rsidRPr="00E649C4" w:rsidRDefault="004D4275" w:rsidP="006347C0">
                  <w:pPr>
                    <w:pStyle w:val="ListParagraph"/>
                    <w:framePr w:hSpace="180" w:wrap="around" w:vAnchor="text" w:hAnchor="margin" w:y="-55"/>
                    <w:numPr>
                      <w:ilvl w:val="0"/>
                      <w:numId w:val="29"/>
                    </w:numPr>
                    <w:rPr>
                      <w:rFonts w:cstheme="minorHAnsi"/>
                      <w:color w:val="000000"/>
                      <w:szCs w:val="22"/>
                    </w:rPr>
                  </w:pPr>
                  <w:r w:rsidRPr="00E649C4">
                    <w:rPr>
                      <w:rFonts w:cstheme="minorHAnsi"/>
                      <w:color w:val="000000"/>
                      <w:szCs w:val="22"/>
                    </w:rPr>
                    <w:t>Mechanical Engineering</w:t>
                  </w:r>
                </w:p>
                <w:p w14:paraId="1C1C98AB" w14:textId="494A4389" w:rsidR="004D4275" w:rsidRPr="00E649C4" w:rsidRDefault="004D4275" w:rsidP="006347C0">
                  <w:pPr>
                    <w:pStyle w:val="ListParagraph"/>
                    <w:framePr w:hSpace="180" w:wrap="around" w:vAnchor="text" w:hAnchor="margin" w:y="-55"/>
                    <w:numPr>
                      <w:ilvl w:val="0"/>
                      <w:numId w:val="29"/>
                    </w:numPr>
                    <w:rPr>
                      <w:rFonts w:cstheme="minorHAnsi"/>
                      <w:color w:val="000000"/>
                      <w:szCs w:val="22"/>
                    </w:rPr>
                  </w:pPr>
                  <w:r w:rsidRPr="00E649C4">
                    <w:rPr>
                      <w:rFonts w:cstheme="minorHAnsi"/>
                      <w:color w:val="000000"/>
                      <w:szCs w:val="22"/>
                    </w:rPr>
                    <w:t>Softwar</w:t>
                  </w:r>
                  <w:r w:rsidR="00E649C4" w:rsidRPr="00E649C4">
                    <w:rPr>
                      <w:rFonts w:cstheme="minorHAnsi"/>
                      <w:color w:val="000000"/>
                      <w:szCs w:val="22"/>
                    </w:rPr>
                    <w:t>e</w:t>
                  </w:r>
                </w:p>
              </w:tc>
              <w:tc>
                <w:tcPr>
                  <w:tcW w:w="266" w:type="dxa"/>
                  <w:shd w:val="clear" w:color="auto" w:fill="auto"/>
                  <w:noWrap/>
                  <w:vAlign w:val="bottom"/>
                  <w:hideMark/>
                </w:tcPr>
                <w:p w14:paraId="1019A753" w14:textId="77777777" w:rsidR="004D4275" w:rsidRPr="004D4275" w:rsidRDefault="004D4275" w:rsidP="006347C0">
                  <w:pPr>
                    <w:framePr w:hSpace="180" w:wrap="around" w:vAnchor="text" w:hAnchor="margin" w:y="-55"/>
                    <w:rPr>
                      <w:rFonts w:cstheme="minorHAnsi"/>
                      <w:color w:val="000000"/>
                      <w:szCs w:val="22"/>
                    </w:rPr>
                  </w:pPr>
                </w:p>
              </w:tc>
              <w:tc>
                <w:tcPr>
                  <w:tcW w:w="5184" w:type="dxa"/>
                  <w:shd w:val="clear" w:color="auto" w:fill="auto"/>
                  <w:vAlign w:val="center"/>
                  <w:hideMark/>
                </w:tcPr>
                <w:p w14:paraId="4334CE67" w14:textId="49AD36B0" w:rsidR="004D4275" w:rsidRPr="004D4275" w:rsidRDefault="004D4275" w:rsidP="006347C0">
                  <w:pPr>
                    <w:framePr w:hSpace="180" w:wrap="around" w:vAnchor="text" w:hAnchor="margin" w:y="-55"/>
                    <w:rPr>
                      <w:rFonts w:cstheme="minorHAnsi"/>
                      <w:color w:val="000000"/>
                      <w:szCs w:val="22"/>
                    </w:rPr>
                  </w:pPr>
                  <w:r w:rsidRPr="00E649C4">
                    <w:rPr>
                      <w:rFonts w:cstheme="minorHAnsi"/>
                      <w:color w:val="FF0000"/>
                      <w:szCs w:val="22"/>
                    </w:rPr>
                    <w:t>Each panel was comprised of one Chair and three Reviewers</w:t>
                  </w:r>
                  <w:r w:rsidR="004E0FE1">
                    <w:rPr>
                      <w:rFonts w:cstheme="minorHAnsi"/>
                      <w:color w:val="FF0000"/>
                      <w:szCs w:val="22"/>
                    </w:rPr>
                    <w:t xml:space="preserve"> from the ICs and OTT. </w:t>
                  </w:r>
                  <w:r w:rsidRPr="00E649C4">
                    <w:rPr>
                      <w:rFonts w:cstheme="minorHAnsi"/>
                      <w:color w:val="FF0000"/>
                      <w:szCs w:val="22"/>
                    </w:rPr>
                    <w:t xml:space="preserve">  Unfortunately, due to confidentially matters, we’re unable to identify those individuals.</w:t>
                  </w:r>
                </w:p>
              </w:tc>
            </w:tr>
            <w:tr w:rsidR="00AA28B9" w:rsidRPr="006A1076" w14:paraId="5638B356" w14:textId="77777777" w:rsidTr="00842BF5">
              <w:trPr>
                <w:trHeight w:val="531"/>
              </w:trPr>
              <w:tc>
                <w:tcPr>
                  <w:tcW w:w="4649" w:type="dxa"/>
                  <w:shd w:val="clear" w:color="000000" w:fill="E2EFDA"/>
                  <w:noWrap/>
                  <w:vAlign w:val="center"/>
                  <w:hideMark/>
                </w:tcPr>
                <w:p w14:paraId="1B23689D" w14:textId="4338CD01" w:rsidR="00AA28B9" w:rsidRPr="004D4275" w:rsidRDefault="00AA28B9" w:rsidP="006347C0">
                  <w:pPr>
                    <w:framePr w:hSpace="180" w:wrap="around" w:vAnchor="text" w:hAnchor="margin" w:y="-55"/>
                    <w:jc w:val="center"/>
                    <w:rPr>
                      <w:rFonts w:cstheme="minorHAnsi"/>
                      <w:b/>
                      <w:bCs/>
                      <w:color w:val="000000"/>
                      <w:szCs w:val="22"/>
                    </w:rPr>
                  </w:pPr>
                  <w:r w:rsidRPr="004D4275">
                    <w:rPr>
                      <w:rFonts w:cstheme="minorHAnsi"/>
                      <w:b/>
                      <w:bCs/>
                      <w:color w:val="000000"/>
                      <w:szCs w:val="22"/>
                    </w:rPr>
                    <w:t>Phase IV Sub-Group (Award)</w:t>
                  </w:r>
                </w:p>
              </w:tc>
              <w:tc>
                <w:tcPr>
                  <w:tcW w:w="266" w:type="dxa"/>
                  <w:shd w:val="clear" w:color="000000" w:fill="E2EFDA"/>
                  <w:noWrap/>
                  <w:vAlign w:val="center"/>
                  <w:hideMark/>
                </w:tcPr>
                <w:p w14:paraId="38711C23" w14:textId="003FA60D" w:rsidR="00AA28B9" w:rsidRPr="004D4275" w:rsidRDefault="00AA28B9" w:rsidP="006347C0">
                  <w:pPr>
                    <w:framePr w:hSpace="180" w:wrap="around" w:vAnchor="text" w:hAnchor="margin" w:y="-55"/>
                    <w:jc w:val="center"/>
                    <w:rPr>
                      <w:rFonts w:cstheme="minorHAnsi"/>
                      <w:color w:val="000000"/>
                      <w:szCs w:val="22"/>
                    </w:rPr>
                  </w:pPr>
                </w:p>
              </w:tc>
              <w:tc>
                <w:tcPr>
                  <w:tcW w:w="5184" w:type="dxa"/>
                  <w:shd w:val="clear" w:color="000000" w:fill="E2EFDA"/>
                  <w:noWrap/>
                  <w:vAlign w:val="center"/>
                </w:tcPr>
                <w:p w14:paraId="66514108" w14:textId="074F4B1A" w:rsidR="00AA28B9" w:rsidRPr="004D4275" w:rsidRDefault="00AA28B9" w:rsidP="006347C0">
                  <w:pPr>
                    <w:framePr w:hSpace="180" w:wrap="around" w:vAnchor="text" w:hAnchor="margin" w:y="-55"/>
                    <w:jc w:val="center"/>
                    <w:rPr>
                      <w:rFonts w:cstheme="minorHAnsi"/>
                      <w:b/>
                      <w:bCs/>
                      <w:color w:val="000000"/>
                      <w:szCs w:val="22"/>
                    </w:rPr>
                  </w:pPr>
                  <w:r w:rsidRPr="004D4275">
                    <w:rPr>
                      <w:rFonts w:cstheme="minorHAnsi"/>
                      <w:b/>
                      <w:bCs/>
                      <w:szCs w:val="22"/>
                    </w:rPr>
                    <w:t xml:space="preserve">IC Representatives </w:t>
                  </w:r>
                  <w:r w:rsidRPr="004D4275">
                    <w:rPr>
                      <w:rFonts w:cstheme="minorHAnsi"/>
                      <w:szCs w:val="22"/>
                    </w:rPr>
                    <w:t>(*Chair and Co-Chair)</w:t>
                  </w:r>
                </w:p>
              </w:tc>
            </w:tr>
            <w:tr w:rsidR="00AA28B9" w:rsidRPr="006A1076" w14:paraId="20AE6BDD" w14:textId="77777777" w:rsidTr="00842BF5">
              <w:trPr>
                <w:trHeight w:val="276"/>
              </w:trPr>
              <w:tc>
                <w:tcPr>
                  <w:tcW w:w="4649" w:type="dxa"/>
                  <w:shd w:val="clear" w:color="auto" w:fill="auto"/>
                  <w:noWrap/>
                  <w:vAlign w:val="bottom"/>
                  <w:hideMark/>
                </w:tcPr>
                <w:p w14:paraId="5844C581" w14:textId="77777777" w:rsidR="00AA28B9" w:rsidRPr="004D4275" w:rsidRDefault="00AA28B9" w:rsidP="006347C0">
                  <w:pPr>
                    <w:framePr w:hSpace="180" w:wrap="around" w:vAnchor="text" w:hAnchor="margin" w:y="-55"/>
                    <w:rPr>
                      <w:rFonts w:cstheme="minorHAnsi"/>
                      <w:szCs w:val="22"/>
                    </w:rPr>
                  </w:pPr>
                  <w:r w:rsidRPr="004D4275">
                    <w:rPr>
                      <w:rFonts w:cstheme="minorHAnsi"/>
                      <w:szCs w:val="22"/>
                    </w:rPr>
                    <w:t>Chair and Co-Chair</w:t>
                  </w:r>
                </w:p>
              </w:tc>
              <w:tc>
                <w:tcPr>
                  <w:tcW w:w="266" w:type="dxa"/>
                  <w:shd w:val="clear" w:color="auto" w:fill="auto"/>
                  <w:noWrap/>
                  <w:vAlign w:val="bottom"/>
                  <w:hideMark/>
                </w:tcPr>
                <w:p w14:paraId="6159C8D8" w14:textId="77777777" w:rsidR="00AA28B9" w:rsidRPr="004D4275" w:rsidRDefault="00AA28B9" w:rsidP="006347C0">
                  <w:pPr>
                    <w:framePr w:hSpace="180" w:wrap="around" w:vAnchor="text" w:hAnchor="margin" w:y="-55"/>
                    <w:rPr>
                      <w:rFonts w:cstheme="minorHAnsi"/>
                      <w:szCs w:val="22"/>
                    </w:rPr>
                  </w:pPr>
                </w:p>
              </w:tc>
              <w:tc>
                <w:tcPr>
                  <w:tcW w:w="5184" w:type="dxa"/>
                  <w:shd w:val="clear" w:color="auto" w:fill="auto"/>
                  <w:noWrap/>
                  <w:vAlign w:val="bottom"/>
                  <w:hideMark/>
                </w:tcPr>
                <w:p w14:paraId="4C7ADE49"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Surekha Vathyam (NCI) and Jill Roering (OTT)</w:t>
                  </w:r>
                </w:p>
              </w:tc>
            </w:tr>
            <w:tr w:rsidR="00AA28B9" w:rsidRPr="006A1076" w14:paraId="49C093AB" w14:textId="77777777" w:rsidTr="00842BF5">
              <w:trPr>
                <w:trHeight w:val="276"/>
              </w:trPr>
              <w:tc>
                <w:tcPr>
                  <w:tcW w:w="4649" w:type="dxa"/>
                  <w:shd w:val="clear" w:color="auto" w:fill="auto"/>
                  <w:noWrap/>
                  <w:vAlign w:val="center"/>
                  <w:hideMark/>
                </w:tcPr>
                <w:p w14:paraId="5E6CD2DA"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Final SOW Review</w:t>
                  </w:r>
                </w:p>
              </w:tc>
              <w:tc>
                <w:tcPr>
                  <w:tcW w:w="266" w:type="dxa"/>
                  <w:shd w:val="clear" w:color="auto" w:fill="auto"/>
                  <w:noWrap/>
                  <w:vAlign w:val="bottom"/>
                  <w:hideMark/>
                </w:tcPr>
                <w:p w14:paraId="0FE1DFAC" w14:textId="77777777" w:rsidR="00AA28B9" w:rsidRPr="004D4275" w:rsidRDefault="00AA28B9"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674E813B"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Maryann Puglielli (NIAID), Surekha Vathyam (NCI), and Jill Roering (OTT)</w:t>
                  </w:r>
                </w:p>
              </w:tc>
            </w:tr>
            <w:tr w:rsidR="00AA28B9" w:rsidRPr="006A1076" w14:paraId="28C6125C" w14:textId="77777777" w:rsidTr="00842BF5">
              <w:trPr>
                <w:trHeight w:val="492"/>
              </w:trPr>
              <w:tc>
                <w:tcPr>
                  <w:tcW w:w="4649" w:type="dxa"/>
                  <w:shd w:val="clear" w:color="auto" w:fill="auto"/>
                  <w:vAlign w:val="center"/>
                  <w:hideMark/>
                </w:tcPr>
                <w:p w14:paraId="7BEDDBC9"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 xml:space="preserve">Patent Family Status Review </w:t>
                  </w:r>
                  <w:r w:rsidRPr="004D4275">
                    <w:rPr>
                      <w:rFonts w:cstheme="minorHAnsi"/>
                      <w:color w:val="000000"/>
                      <w:szCs w:val="22"/>
                    </w:rPr>
                    <w:br/>
                    <w:t>Discussion and Portfolio Report</w:t>
                  </w:r>
                </w:p>
              </w:tc>
              <w:tc>
                <w:tcPr>
                  <w:tcW w:w="266" w:type="dxa"/>
                  <w:shd w:val="clear" w:color="auto" w:fill="auto"/>
                  <w:noWrap/>
                  <w:vAlign w:val="bottom"/>
                  <w:hideMark/>
                </w:tcPr>
                <w:p w14:paraId="6F15B7F6" w14:textId="77777777" w:rsidR="00AA28B9" w:rsidRPr="004D4275" w:rsidRDefault="00AA28B9" w:rsidP="006347C0">
                  <w:pPr>
                    <w:framePr w:hSpace="180" w:wrap="around" w:vAnchor="text" w:hAnchor="margin" w:y="-55"/>
                    <w:rPr>
                      <w:rFonts w:cstheme="minorHAnsi"/>
                      <w:color w:val="000000"/>
                      <w:szCs w:val="22"/>
                    </w:rPr>
                  </w:pPr>
                </w:p>
              </w:tc>
              <w:tc>
                <w:tcPr>
                  <w:tcW w:w="5184" w:type="dxa"/>
                  <w:shd w:val="clear" w:color="auto" w:fill="auto"/>
                  <w:vAlign w:val="bottom"/>
                  <w:hideMark/>
                </w:tcPr>
                <w:p w14:paraId="2F3F41A5"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Sue Ano (NINDS), Eggerton Campbell (NHGRI), John Devany (NHLBI), Louis Kuta (OLAO), Tim Leahy (OTT), Agnes Rooke (NIDDK), Jeffery Thruston (NIAID), Sury Vepa (NCATS), Jenny Wong (NIMH), Surekha Vathyam (NCI) and Jill Roering (OTT)</w:t>
                  </w:r>
                </w:p>
              </w:tc>
            </w:tr>
            <w:tr w:rsidR="00AA28B9" w:rsidRPr="006A1076" w14:paraId="61AD0A2A" w14:textId="77777777" w:rsidTr="00842BF5">
              <w:trPr>
                <w:trHeight w:val="492"/>
              </w:trPr>
              <w:tc>
                <w:tcPr>
                  <w:tcW w:w="4649" w:type="dxa"/>
                  <w:shd w:val="clear" w:color="auto" w:fill="auto"/>
                  <w:vAlign w:val="center"/>
                  <w:hideMark/>
                </w:tcPr>
                <w:p w14:paraId="51BB2ED5"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 xml:space="preserve">Discuss Patent Family Transfers </w:t>
                  </w:r>
                  <w:r w:rsidRPr="004D4275">
                    <w:rPr>
                      <w:rFonts w:cstheme="minorHAnsi"/>
                      <w:color w:val="000000"/>
                      <w:szCs w:val="22"/>
                    </w:rPr>
                    <w:br/>
                    <w:t>Transitioning from Current PLS Contract to New</w:t>
                  </w:r>
                </w:p>
              </w:tc>
              <w:tc>
                <w:tcPr>
                  <w:tcW w:w="266" w:type="dxa"/>
                  <w:shd w:val="clear" w:color="auto" w:fill="auto"/>
                  <w:noWrap/>
                  <w:vAlign w:val="bottom"/>
                  <w:hideMark/>
                </w:tcPr>
                <w:p w14:paraId="1500924C" w14:textId="77777777" w:rsidR="00AA28B9" w:rsidRPr="004D4275" w:rsidRDefault="00AA28B9" w:rsidP="006347C0">
                  <w:pPr>
                    <w:framePr w:hSpace="180" w:wrap="around" w:vAnchor="text" w:hAnchor="margin" w:y="-55"/>
                    <w:rPr>
                      <w:rFonts w:cstheme="minorHAnsi"/>
                      <w:color w:val="000000"/>
                      <w:szCs w:val="22"/>
                    </w:rPr>
                  </w:pPr>
                </w:p>
              </w:tc>
              <w:tc>
                <w:tcPr>
                  <w:tcW w:w="5184" w:type="dxa"/>
                  <w:shd w:val="clear" w:color="auto" w:fill="auto"/>
                  <w:vAlign w:val="bottom"/>
                  <w:hideMark/>
                </w:tcPr>
                <w:p w14:paraId="51F93D2F"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Sue Ano (NINDS), Eggerton Campbell (NHGRI), John Devany (NHLBI), Louis Kuta (OLAO), Tim Leahy (OTT), Agnes Rooke (NIDDK), Jeffery Thruston (NIAID), Sury Vepa (NCATS), Jenny Wong (NIMH), Surekha Vathyam (NCI) and Jill Roering (OTT)</w:t>
                  </w:r>
                </w:p>
              </w:tc>
            </w:tr>
            <w:tr w:rsidR="00AA28B9" w:rsidRPr="006A1076" w14:paraId="560BC049" w14:textId="77777777" w:rsidTr="00842BF5">
              <w:trPr>
                <w:trHeight w:val="276"/>
              </w:trPr>
              <w:tc>
                <w:tcPr>
                  <w:tcW w:w="4649" w:type="dxa"/>
                  <w:shd w:val="clear" w:color="auto" w:fill="auto"/>
                  <w:noWrap/>
                  <w:vAlign w:val="center"/>
                  <w:hideMark/>
                </w:tcPr>
                <w:p w14:paraId="466BE225"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Project Management Plan</w:t>
                  </w:r>
                </w:p>
              </w:tc>
              <w:tc>
                <w:tcPr>
                  <w:tcW w:w="266" w:type="dxa"/>
                  <w:shd w:val="clear" w:color="auto" w:fill="auto"/>
                  <w:noWrap/>
                  <w:vAlign w:val="bottom"/>
                  <w:hideMark/>
                </w:tcPr>
                <w:p w14:paraId="33CF8D11" w14:textId="77777777" w:rsidR="00AA28B9" w:rsidRPr="004D4275" w:rsidRDefault="00AA28B9" w:rsidP="006347C0">
                  <w:pPr>
                    <w:framePr w:hSpace="180" w:wrap="around" w:vAnchor="text" w:hAnchor="margin" w:y="-55"/>
                    <w:rPr>
                      <w:rFonts w:cstheme="minorHAnsi"/>
                      <w:color w:val="000000"/>
                      <w:szCs w:val="22"/>
                    </w:rPr>
                  </w:pPr>
                </w:p>
              </w:tc>
              <w:tc>
                <w:tcPr>
                  <w:tcW w:w="5184" w:type="dxa"/>
                  <w:shd w:val="clear" w:color="auto" w:fill="auto"/>
                  <w:noWrap/>
                  <w:vAlign w:val="bottom"/>
                  <w:hideMark/>
                </w:tcPr>
                <w:p w14:paraId="3C63A708"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Astia Plachta (Sapient), Tim Leahy (OTT), and Jill Roering (OTT)</w:t>
                  </w:r>
                </w:p>
              </w:tc>
            </w:tr>
            <w:tr w:rsidR="00AA28B9" w:rsidRPr="006A1076" w14:paraId="49D312D9" w14:textId="77777777" w:rsidTr="00842BF5">
              <w:trPr>
                <w:trHeight w:val="492"/>
              </w:trPr>
              <w:tc>
                <w:tcPr>
                  <w:tcW w:w="4649" w:type="dxa"/>
                  <w:tcBorders>
                    <w:bottom w:val="single" w:sz="4" w:space="0" w:color="auto"/>
                  </w:tcBorders>
                  <w:shd w:val="clear" w:color="auto" w:fill="auto"/>
                  <w:noWrap/>
                  <w:vAlign w:val="center"/>
                  <w:hideMark/>
                </w:tcPr>
                <w:p w14:paraId="1BDC9D51"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Roles &amp; Responsibilities Questionnaire Responses</w:t>
                  </w:r>
                </w:p>
              </w:tc>
              <w:tc>
                <w:tcPr>
                  <w:tcW w:w="266" w:type="dxa"/>
                  <w:tcBorders>
                    <w:bottom w:val="single" w:sz="4" w:space="0" w:color="auto"/>
                  </w:tcBorders>
                  <w:shd w:val="clear" w:color="auto" w:fill="auto"/>
                  <w:noWrap/>
                  <w:vAlign w:val="bottom"/>
                  <w:hideMark/>
                </w:tcPr>
                <w:p w14:paraId="798BFC5F" w14:textId="77777777" w:rsidR="00AA28B9" w:rsidRPr="004D4275" w:rsidRDefault="00AA28B9" w:rsidP="006347C0">
                  <w:pPr>
                    <w:framePr w:hSpace="180" w:wrap="around" w:vAnchor="text" w:hAnchor="margin" w:y="-55"/>
                    <w:rPr>
                      <w:rFonts w:cstheme="minorHAnsi"/>
                      <w:color w:val="000000"/>
                      <w:szCs w:val="22"/>
                    </w:rPr>
                  </w:pPr>
                </w:p>
              </w:tc>
              <w:tc>
                <w:tcPr>
                  <w:tcW w:w="5184" w:type="dxa"/>
                  <w:tcBorders>
                    <w:bottom w:val="single" w:sz="4" w:space="0" w:color="auto"/>
                  </w:tcBorders>
                  <w:shd w:val="clear" w:color="auto" w:fill="auto"/>
                  <w:vAlign w:val="bottom"/>
                  <w:hideMark/>
                </w:tcPr>
                <w:p w14:paraId="0A5DC173" w14:textId="77777777" w:rsidR="00AA28B9" w:rsidRPr="004D4275" w:rsidRDefault="00AA28B9" w:rsidP="006347C0">
                  <w:pPr>
                    <w:framePr w:hSpace="180" w:wrap="around" w:vAnchor="text" w:hAnchor="margin" w:y="-55"/>
                    <w:rPr>
                      <w:rFonts w:cstheme="minorHAnsi"/>
                      <w:color w:val="000000"/>
                      <w:szCs w:val="22"/>
                    </w:rPr>
                  </w:pPr>
                  <w:r w:rsidRPr="004D4275">
                    <w:rPr>
                      <w:rFonts w:cstheme="minorHAnsi"/>
                      <w:color w:val="000000"/>
                      <w:szCs w:val="22"/>
                    </w:rPr>
                    <w:t>Sue Ano (NINDS), Eggerton Campbell (NHGRI), John Devany (NHLBI), Louis Kuta (OLAO), Tim Leahy (OTT), Agnes Rooke (NIDDK), Jeffery Thruston (NIAID), Sury Vepa (NCATS), Jenny Wong (NIMH), Surekha Vathyam (NCI) and Jill Roering (OTT)</w:t>
                  </w:r>
                </w:p>
              </w:tc>
            </w:tr>
            <w:tr w:rsidR="00AA28B9" w:rsidRPr="006A1076" w14:paraId="57797F3C" w14:textId="77777777" w:rsidTr="00842BF5">
              <w:trPr>
                <w:trHeight w:val="276"/>
              </w:trPr>
              <w:tc>
                <w:tcPr>
                  <w:tcW w:w="4649" w:type="dxa"/>
                  <w:tcBorders>
                    <w:bottom w:val="single" w:sz="4" w:space="0" w:color="auto"/>
                  </w:tcBorders>
                  <w:shd w:val="clear" w:color="auto" w:fill="auto"/>
                  <w:noWrap/>
                  <w:hideMark/>
                </w:tcPr>
                <w:p w14:paraId="4186DFE8" w14:textId="7861B4CC" w:rsidR="00AA28B9" w:rsidRPr="004D4275" w:rsidRDefault="00842BF5" w:rsidP="006347C0">
                  <w:pPr>
                    <w:framePr w:hSpace="180" w:wrap="around" w:vAnchor="text" w:hAnchor="margin" w:y="-55"/>
                    <w:rPr>
                      <w:rFonts w:cstheme="minorHAnsi"/>
                      <w:color w:val="000000"/>
                      <w:szCs w:val="22"/>
                    </w:rPr>
                  </w:pPr>
                  <w:r>
                    <w:rPr>
                      <w:rFonts w:cstheme="minorHAnsi"/>
                      <w:color w:val="000000"/>
                      <w:szCs w:val="22"/>
                    </w:rPr>
                    <w:t xml:space="preserve">Invoicing </w:t>
                  </w:r>
                </w:p>
              </w:tc>
              <w:tc>
                <w:tcPr>
                  <w:tcW w:w="266" w:type="dxa"/>
                  <w:tcBorders>
                    <w:bottom w:val="single" w:sz="4" w:space="0" w:color="auto"/>
                  </w:tcBorders>
                  <w:shd w:val="clear" w:color="auto" w:fill="auto"/>
                  <w:noWrap/>
                  <w:vAlign w:val="center"/>
                  <w:hideMark/>
                </w:tcPr>
                <w:p w14:paraId="6E488F49" w14:textId="77777777" w:rsidR="00AA28B9" w:rsidRPr="004D4275" w:rsidRDefault="00AA28B9" w:rsidP="006347C0">
                  <w:pPr>
                    <w:framePr w:hSpace="180" w:wrap="around" w:vAnchor="text" w:hAnchor="margin" w:y="-55"/>
                    <w:rPr>
                      <w:rFonts w:cstheme="minorHAnsi"/>
                      <w:color w:val="000000"/>
                      <w:szCs w:val="22"/>
                    </w:rPr>
                  </w:pPr>
                </w:p>
              </w:tc>
              <w:tc>
                <w:tcPr>
                  <w:tcW w:w="5184" w:type="dxa"/>
                  <w:tcBorders>
                    <w:bottom w:val="single" w:sz="4" w:space="0" w:color="auto"/>
                  </w:tcBorders>
                  <w:shd w:val="clear" w:color="auto" w:fill="auto"/>
                  <w:noWrap/>
                  <w:hideMark/>
                </w:tcPr>
                <w:p w14:paraId="21749490" w14:textId="58831326" w:rsidR="00AA28B9" w:rsidRDefault="00AA28B9" w:rsidP="006347C0">
                  <w:pPr>
                    <w:framePr w:hSpace="180" w:wrap="around" w:vAnchor="text" w:hAnchor="margin" w:y="-55"/>
                    <w:rPr>
                      <w:rFonts w:cstheme="minorHAnsi"/>
                      <w:color w:val="000000"/>
                      <w:szCs w:val="22"/>
                    </w:rPr>
                  </w:pPr>
                  <w:r w:rsidRPr="004D4275">
                    <w:rPr>
                      <w:rFonts w:cstheme="minorHAnsi"/>
                      <w:color w:val="000000"/>
                      <w:szCs w:val="22"/>
                    </w:rPr>
                    <w:t>Surekha Vathyam (NCI)</w:t>
                  </w:r>
                </w:p>
                <w:p w14:paraId="37828A52" w14:textId="77777777" w:rsidR="00842BF5" w:rsidRDefault="00842BF5" w:rsidP="006347C0">
                  <w:pPr>
                    <w:framePr w:hSpace="180" w:wrap="around" w:vAnchor="text" w:hAnchor="margin" w:y="-55"/>
                    <w:rPr>
                      <w:rFonts w:cstheme="minorHAnsi"/>
                      <w:color w:val="000000"/>
                      <w:szCs w:val="22"/>
                    </w:rPr>
                  </w:pPr>
                </w:p>
                <w:p w14:paraId="70ADD2B6" w14:textId="51B82BC9" w:rsidR="00842BF5" w:rsidRPr="004D4275" w:rsidRDefault="00842BF5" w:rsidP="006347C0">
                  <w:pPr>
                    <w:framePr w:hSpace="180" w:wrap="around" w:vAnchor="text" w:hAnchor="margin" w:y="-55"/>
                    <w:rPr>
                      <w:rFonts w:cstheme="minorHAnsi"/>
                      <w:color w:val="000000"/>
                      <w:szCs w:val="22"/>
                    </w:rPr>
                  </w:pPr>
                </w:p>
              </w:tc>
            </w:tr>
            <w:tr w:rsidR="00AA28B9" w:rsidRPr="006A1076" w14:paraId="72F65F74" w14:textId="77777777" w:rsidTr="00842BF5">
              <w:trPr>
                <w:trHeight w:val="276"/>
              </w:trPr>
              <w:tc>
                <w:tcPr>
                  <w:tcW w:w="4649" w:type="dxa"/>
                  <w:tcBorders>
                    <w:bottom w:val="single" w:sz="4" w:space="0" w:color="auto"/>
                  </w:tcBorders>
                  <w:shd w:val="clear" w:color="auto" w:fill="auto"/>
                  <w:noWrap/>
                  <w:hideMark/>
                </w:tcPr>
                <w:p w14:paraId="664192CB" w14:textId="77777777" w:rsidR="00AA28B9" w:rsidRDefault="00AA28B9" w:rsidP="006347C0">
                  <w:pPr>
                    <w:framePr w:hSpace="180" w:wrap="around" w:vAnchor="text" w:hAnchor="margin" w:y="-55"/>
                    <w:rPr>
                      <w:rFonts w:cstheme="minorHAnsi"/>
                      <w:color w:val="000000"/>
                      <w:szCs w:val="22"/>
                    </w:rPr>
                  </w:pPr>
                  <w:r w:rsidRPr="004D4275">
                    <w:rPr>
                      <w:rFonts w:cstheme="minorHAnsi"/>
                      <w:color w:val="000000"/>
                      <w:szCs w:val="22"/>
                    </w:rPr>
                    <w:t>CB Process Training</w:t>
                  </w:r>
                </w:p>
                <w:p w14:paraId="6B130905" w14:textId="2CB992CD" w:rsidR="00842BF5" w:rsidRPr="004D4275" w:rsidRDefault="00842BF5" w:rsidP="006347C0">
                  <w:pPr>
                    <w:framePr w:hSpace="180" w:wrap="around" w:vAnchor="text" w:hAnchor="margin" w:y="-55"/>
                    <w:rPr>
                      <w:rFonts w:cstheme="minorHAnsi"/>
                      <w:color w:val="000000"/>
                      <w:szCs w:val="22"/>
                    </w:rPr>
                  </w:pPr>
                </w:p>
              </w:tc>
              <w:tc>
                <w:tcPr>
                  <w:tcW w:w="266" w:type="dxa"/>
                  <w:tcBorders>
                    <w:bottom w:val="single" w:sz="4" w:space="0" w:color="auto"/>
                  </w:tcBorders>
                  <w:shd w:val="clear" w:color="auto" w:fill="auto"/>
                  <w:noWrap/>
                  <w:vAlign w:val="bottom"/>
                  <w:hideMark/>
                </w:tcPr>
                <w:p w14:paraId="544DF80E" w14:textId="77777777" w:rsidR="00AA28B9" w:rsidRPr="004D4275" w:rsidRDefault="00AA28B9" w:rsidP="006347C0">
                  <w:pPr>
                    <w:framePr w:hSpace="180" w:wrap="around" w:vAnchor="text" w:hAnchor="margin" w:y="-55"/>
                    <w:rPr>
                      <w:rFonts w:cstheme="minorHAnsi"/>
                      <w:color w:val="000000"/>
                      <w:szCs w:val="22"/>
                    </w:rPr>
                  </w:pPr>
                </w:p>
              </w:tc>
              <w:tc>
                <w:tcPr>
                  <w:tcW w:w="5184" w:type="dxa"/>
                  <w:tcBorders>
                    <w:bottom w:val="single" w:sz="4" w:space="0" w:color="auto"/>
                  </w:tcBorders>
                  <w:shd w:val="clear" w:color="auto" w:fill="auto"/>
                  <w:noWrap/>
                  <w:vAlign w:val="bottom"/>
                  <w:hideMark/>
                </w:tcPr>
                <w:p w14:paraId="3AD5B5C9" w14:textId="77777777" w:rsidR="00AA28B9" w:rsidRDefault="00AA28B9" w:rsidP="006347C0">
                  <w:pPr>
                    <w:framePr w:hSpace="180" w:wrap="around" w:vAnchor="text" w:hAnchor="margin" w:y="-55"/>
                    <w:rPr>
                      <w:rFonts w:cstheme="minorHAnsi"/>
                      <w:color w:val="000000"/>
                      <w:szCs w:val="22"/>
                    </w:rPr>
                  </w:pPr>
                  <w:r w:rsidRPr="004D4275">
                    <w:rPr>
                      <w:rFonts w:cstheme="minorHAnsi"/>
                      <w:color w:val="000000"/>
                      <w:szCs w:val="22"/>
                    </w:rPr>
                    <w:t xml:space="preserve">IC Designees and Jill Roering (OTT) </w:t>
                  </w:r>
                </w:p>
                <w:p w14:paraId="4E321903" w14:textId="6559A32C" w:rsidR="00842BF5" w:rsidRPr="004D4275" w:rsidRDefault="00842BF5" w:rsidP="006347C0">
                  <w:pPr>
                    <w:framePr w:hSpace="180" w:wrap="around" w:vAnchor="text" w:hAnchor="margin" w:y="-55"/>
                    <w:rPr>
                      <w:rFonts w:cstheme="minorHAnsi"/>
                      <w:color w:val="000000"/>
                      <w:szCs w:val="22"/>
                    </w:rPr>
                  </w:pPr>
                </w:p>
              </w:tc>
            </w:tr>
          </w:tbl>
          <w:p w14:paraId="024D1F97" w14:textId="77777777" w:rsidR="004D4275" w:rsidRPr="00443AAF" w:rsidRDefault="004D4275" w:rsidP="00724E19">
            <w:pPr>
              <w:spacing w:line="120" w:lineRule="exact"/>
              <w:rPr>
                <w:rFonts w:cstheme="minorHAnsi"/>
              </w:rPr>
            </w:pPr>
          </w:p>
        </w:tc>
      </w:tr>
    </w:tbl>
    <w:p w14:paraId="6608EFA2" w14:textId="07EEAFDB" w:rsidR="007B11E6" w:rsidRDefault="00164430" w:rsidP="00240785">
      <w:r>
        <w:lastRenderedPageBreak/>
        <w:t xml:space="preserve">                                                                       </w:t>
      </w:r>
      <w:r>
        <w:rPr>
          <w:noProof/>
        </w:rPr>
        <w:drawing>
          <wp:inline distT="0" distB="0" distL="0" distR="0" wp14:anchorId="726950F4" wp14:editId="225B9840">
            <wp:extent cx="1472565" cy="2453755"/>
            <wp:effectExtent l="0" t="0" r="0" b="3810"/>
            <wp:docPr id="48" name="Picture 48" descr="C:\Users\fergusos\AppData\Local\Microsoft\Windows\INetCache\Content.MSO\931F9E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gusos\AppData\Local\Microsoft\Windows\INetCache\Content.MSO\931F9ED5.tmp"/>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521246" cy="2534874"/>
                    </a:xfrm>
                    <a:prstGeom prst="rect">
                      <a:avLst/>
                    </a:prstGeom>
                    <a:noFill/>
                    <a:ln>
                      <a:noFill/>
                    </a:ln>
                  </pic:spPr>
                </pic:pic>
              </a:graphicData>
            </a:graphic>
          </wp:inline>
        </w:drawing>
      </w:r>
    </w:p>
    <w:p w14:paraId="23084736" w14:textId="10B5A420" w:rsidR="00E019FE" w:rsidRDefault="00E019FE" w:rsidP="00240785">
      <w:pPr>
        <w:sectPr w:rsidR="00E019FE" w:rsidSect="00E83429">
          <w:footerReference w:type="default" r:id="rId25"/>
          <w:pgSz w:w="12240" w:h="15840"/>
          <w:pgMar w:top="1080" w:right="1080" w:bottom="360" w:left="1080" w:header="720" w:footer="720" w:gutter="0"/>
          <w:cols w:space="720"/>
          <w:titlePg/>
          <w:docGrid w:linePitch="360"/>
        </w:sectPr>
      </w:pPr>
    </w:p>
    <w:p w14:paraId="5559F5CC" w14:textId="41D252EC" w:rsidR="00E019FE" w:rsidRDefault="00E019FE" w:rsidP="00067EBE"/>
    <w:tbl>
      <w:tblPr>
        <w:tblStyle w:val="TableGrid"/>
        <w:tblpPr w:leftFromText="180" w:rightFromText="180" w:vertAnchor="text" w:horzAnchor="margin" w:tblpY="140"/>
        <w:tblW w:w="102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9535"/>
        <w:gridCol w:w="720"/>
      </w:tblGrid>
      <w:tr w:rsidR="00E019FE" w:rsidRPr="00443AAF" w14:paraId="652399A2" w14:textId="77777777" w:rsidTr="002B557C">
        <w:trPr>
          <w:cantSplit/>
          <w:trHeight w:val="1134"/>
        </w:trPr>
        <w:tc>
          <w:tcPr>
            <w:tcW w:w="9535" w:type="dxa"/>
          </w:tcPr>
          <w:p w14:paraId="38A714D1" w14:textId="68DD56CE" w:rsidR="00E019FE" w:rsidRPr="00F21F0A" w:rsidRDefault="00FB23E2" w:rsidP="00724E19">
            <w:pPr>
              <w:pStyle w:val="Heading2"/>
              <w:outlineLvl w:val="1"/>
              <w:rPr>
                <w:rFonts w:cstheme="minorHAnsi"/>
                <w:b/>
                <w:sz w:val="36"/>
                <w:szCs w:val="36"/>
              </w:rPr>
            </w:pPr>
            <w:r w:rsidRPr="00F21F0A">
              <w:rPr>
                <w:rFonts w:cstheme="minorHAnsi"/>
                <w:b/>
                <w:sz w:val="36"/>
                <w:szCs w:val="36"/>
              </w:rPr>
              <w:t xml:space="preserve">Smoothing Out </w:t>
            </w:r>
            <w:r w:rsidR="00F21F0A">
              <w:rPr>
                <w:rFonts w:cstheme="minorHAnsi"/>
                <w:b/>
                <w:sz w:val="36"/>
                <w:szCs w:val="36"/>
              </w:rPr>
              <w:t>T</w:t>
            </w:r>
            <w:r w:rsidRPr="00F21F0A">
              <w:rPr>
                <w:rFonts w:cstheme="minorHAnsi"/>
                <w:b/>
                <w:sz w:val="36"/>
                <w:szCs w:val="36"/>
              </w:rPr>
              <w:t>he SharePoint Upgrade Transition</w:t>
            </w:r>
          </w:p>
          <w:p w14:paraId="7CD65589" w14:textId="06413413" w:rsidR="00E019FE" w:rsidRPr="007B11E6" w:rsidRDefault="00F21F0A" w:rsidP="00724E19">
            <w:pPr>
              <w:pStyle w:val="Subtitle"/>
              <w:framePr w:hSpace="0" w:wrap="auto" w:vAnchor="margin" w:hAnchor="text" w:yAlign="inline"/>
              <w:rPr>
                <w:rFonts w:cstheme="minorHAnsi"/>
              </w:rPr>
            </w:pPr>
            <w:r w:rsidRPr="00F21F0A">
              <w:rPr>
                <w:noProof/>
                <w:sz w:val="36"/>
                <w:szCs w:val="36"/>
              </w:rPr>
              <w:drawing>
                <wp:anchor distT="0" distB="0" distL="114300" distR="114300" simplePos="0" relativeHeight="251778048" behindDoc="0" locked="0" layoutInCell="1" allowOverlap="1" wp14:anchorId="7DE1A15C" wp14:editId="0A156D01">
                  <wp:simplePos x="0" y="0"/>
                  <wp:positionH relativeFrom="column">
                    <wp:posOffset>3246755</wp:posOffset>
                  </wp:positionH>
                  <wp:positionV relativeFrom="paragraph">
                    <wp:posOffset>300990</wp:posOffset>
                  </wp:positionV>
                  <wp:extent cx="2580640" cy="178308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erveimage.png"/>
                          <pic:cNvPicPr/>
                        </pic:nvPicPr>
                        <pic:blipFill>
                          <a:blip r:embed="rId26" cstate="screen">
                            <a:extLst>
                              <a:ext uri="{28A0092B-C50C-407E-A947-70E740481C1C}">
                                <a14:useLocalDpi xmlns:a14="http://schemas.microsoft.com/office/drawing/2010/main"/>
                              </a:ext>
                            </a:extLst>
                          </a:blip>
                          <a:stretch>
                            <a:fillRect/>
                          </a:stretch>
                        </pic:blipFill>
                        <pic:spPr>
                          <a:xfrm>
                            <a:off x="0" y="0"/>
                            <a:ext cx="2580640" cy="1783080"/>
                          </a:xfrm>
                          <a:prstGeom prst="rect">
                            <a:avLst/>
                          </a:prstGeom>
                        </pic:spPr>
                      </pic:pic>
                    </a:graphicData>
                  </a:graphic>
                  <wp14:sizeRelH relativeFrom="page">
                    <wp14:pctWidth>0</wp14:pctWidth>
                  </wp14:sizeRelH>
                  <wp14:sizeRelV relativeFrom="page">
                    <wp14:pctHeight>0</wp14:pctHeight>
                  </wp14:sizeRelV>
                </wp:anchor>
              </w:drawing>
            </w:r>
            <w:r w:rsidR="00E019FE">
              <w:rPr>
                <w:rFonts w:asciiTheme="minorHAnsi" w:hAnsiTheme="minorHAnsi" w:cstheme="minorHAnsi"/>
              </w:rPr>
              <w:t>Terry Goodell</w:t>
            </w:r>
            <w:r w:rsidR="00E019FE">
              <w:rPr>
                <w:rFonts w:cstheme="minorHAnsi"/>
              </w:rPr>
              <w:t>, Sapient</w:t>
            </w:r>
          </w:p>
          <w:p w14:paraId="0D7B84A7" w14:textId="77777777" w:rsidR="00F21F0A" w:rsidRDefault="00F21F0A" w:rsidP="00FB23E2"/>
          <w:p w14:paraId="432F3941" w14:textId="00CE82C6" w:rsidR="00FB23E2" w:rsidRDefault="00FB23E2" w:rsidP="00FB23E2">
            <w:r>
              <w:t xml:space="preserve">Quick tasks can become very frustrating when Microsoft updates their products. With the transition from SharePoint 2010 to 2016 there were a few issues reported by the community. The OTT team has identified solutions to these issues. </w:t>
            </w:r>
          </w:p>
          <w:p w14:paraId="05B44470" w14:textId="77777777" w:rsidR="00FB23E2" w:rsidRDefault="00FB23E2" w:rsidP="00FB23E2"/>
          <w:p w14:paraId="6FB23DA6" w14:textId="77777777" w:rsidR="00FB23E2" w:rsidRDefault="00FB23E2" w:rsidP="00FB23E2">
            <w:r>
              <w:t xml:space="preserve">Users reported having problems accessing the new hosting location. This is most likely due to the authentication tagging back to the previously hosted site location, which may not be available. The solution for this problem is to clear the browser’s cookies and website data. If needed, reboot the computer. </w:t>
            </w:r>
          </w:p>
          <w:p w14:paraId="23F3F5A7" w14:textId="77777777" w:rsidR="00FB23E2" w:rsidRDefault="00FB23E2" w:rsidP="00FB23E2"/>
          <w:p w14:paraId="6123D451" w14:textId="77777777" w:rsidR="00FB23E2" w:rsidRDefault="00FB23E2" w:rsidP="00FB23E2">
            <w:r>
              <w:t xml:space="preserve">Another issue reported was that </w:t>
            </w:r>
            <w:proofErr w:type="gramStart"/>
            <w:r>
              <w:t>drag</w:t>
            </w:r>
            <w:proofErr w:type="gramEnd"/>
            <w:r>
              <w:t xml:space="preserve"> and drop does not upload documents when uploading Licenses, Memos, and Annuities. This is because Drag and Drop does not associate the document with the item, creating orphaned files within the system and preventing users from uploading another document with the same name. The solution for this is to follow the Edit &gt; Browse &gt; Select Document &gt; Upload &gt; Save procedure. </w:t>
            </w:r>
          </w:p>
          <w:p w14:paraId="369520A9" w14:textId="77777777" w:rsidR="00FB23E2" w:rsidRDefault="00FB23E2" w:rsidP="00FB23E2"/>
          <w:p w14:paraId="1212C931" w14:textId="77777777" w:rsidR="00FB23E2" w:rsidRDefault="00FB23E2" w:rsidP="00FB23E2">
            <w:r>
              <w:t xml:space="preserve">Microsoft added a new Preview functionality to PDFs in SharePoint 2016, resulting in files not opening in Acrobat reader, only in Preview. The recommended option to manage PDF files in the website is to Download, Edit and Sign as needed, and then Upload. </w:t>
            </w:r>
          </w:p>
          <w:p w14:paraId="75BD0F73" w14:textId="77777777" w:rsidR="00FB23E2" w:rsidRDefault="00FB23E2" w:rsidP="00FB23E2"/>
          <w:p w14:paraId="21C80502" w14:textId="4EDFEC22" w:rsidR="00FB23E2" w:rsidRDefault="00FB23E2" w:rsidP="00FB23E2">
            <w:r>
              <w:t xml:space="preserve">Detailed instructions to some of these common issues can be found </w:t>
            </w:r>
            <w:hyperlink r:id="rId27" w:history="1">
              <w:r w:rsidRPr="009674D3">
                <w:rPr>
                  <w:rStyle w:val="Hyperlink"/>
                  <w:rFonts w:eastAsiaTheme="majorEastAsia"/>
                </w:rPr>
                <w:t>here.</w:t>
              </w:r>
            </w:hyperlink>
            <w:r>
              <w:t xml:space="preserve"> These updates made by Microsoft changed a lot of behavior in the system, however the OTT team is here to find solutions and help people make the transition smoothly. </w:t>
            </w:r>
          </w:p>
          <w:p w14:paraId="787CDBB6" w14:textId="79CC2821" w:rsidR="006241A8" w:rsidRDefault="00E019FE" w:rsidP="00067EBE">
            <w:pPr>
              <w:spacing w:before="120"/>
              <w:rPr>
                <w:noProof/>
              </w:rPr>
            </w:pPr>
            <w:r w:rsidRPr="00E019FE">
              <w:rPr>
                <w:noProof/>
              </w:rPr>
              <w:t xml:space="preserve">We know there are other items that you all wish would work differently (or better) so please submit a </w:t>
            </w:r>
            <w:hyperlink r:id="rId28" w:history="1">
              <w:r w:rsidRPr="00E019FE">
                <w:rPr>
                  <w:rStyle w:val="Hyperlink"/>
                  <w:rFonts w:eastAsiaTheme="majorEastAsia"/>
                  <w:noProof/>
                </w:rPr>
                <w:t>helpdesk ticket</w:t>
              </w:r>
            </w:hyperlink>
            <w:r w:rsidRPr="00E019FE">
              <w:rPr>
                <w:noProof/>
              </w:rPr>
              <w:t xml:space="preserve"> referenced to </w:t>
            </w:r>
            <w:r w:rsidRPr="00E019FE">
              <w:rPr>
                <w:i/>
                <w:iCs/>
                <w:noProof/>
              </w:rPr>
              <w:t>OD-NIH-OTT SharePoint Support</w:t>
            </w:r>
            <w:r w:rsidRPr="00E019FE">
              <w:rPr>
                <w:noProof/>
              </w:rPr>
              <w:t>. The OTT Staff and subject matter experts are ready to support you.</w:t>
            </w:r>
            <w:r w:rsidR="00067EBE">
              <w:rPr>
                <w:noProof/>
              </w:rPr>
              <w:t xml:space="preserve"> </w:t>
            </w:r>
            <w:r w:rsidRPr="00E019FE">
              <w:rPr>
                <w:noProof/>
              </w:rPr>
              <w:t>Please let us know if you have any questions.</w:t>
            </w:r>
            <w:r w:rsidRPr="007B11E6">
              <w:rPr>
                <w:noProof/>
              </w:rPr>
              <w:t xml:space="preserve"> </w:t>
            </w:r>
          </w:p>
          <w:p w14:paraId="282C82CF" w14:textId="77777777" w:rsidR="006241A8" w:rsidRDefault="006241A8" w:rsidP="00067EBE">
            <w:pPr>
              <w:spacing w:before="120"/>
              <w:rPr>
                <w:noProof/>
              </w:rPr>
            </w:pPr>
          </w:p>
          <w:p w14:paraId="0516DD1C" w14:textId="77777777" w:rsidR="006241A8" w:rsidRDefault="006241A8" w:rsidP="00067EBE">
            <w:pPr>
              <w:spacing w:before="120"/>
              <w:rPr>
                <w:rFonts w:cstheme="minorHAnsi"/>
                <w:noProof/>
              </w:rPr>
            </w:pPr>
          </w:p>
          <w:p w14:paraId="3319B8FD" w14:textId="64ED77B9" w:rsidR="006241A8" w:rsidRPr="00443AAF" w:rsidRDefault="006241A8" w:rsidP="00067EBE">
            <w:pPr>
              <w:spacing w:before="120"/>
              <w:rPr>
                <w:rFonts w:cstheme="minorHAnsi"/>
                <w:noProof/>
              </w:rPr>
            </w:pPr>
          </w:p>
        </w:tc>
        <w:tc>
          <w:tcPr>
            <w:tcW w:w="720" w:type="dxa"/>
            <w:shd w:val="clear" w:color="auto" w:fill="5B9BD5" w:themeFill="accent1"/>
            <w:textDirection w:val="btLr"/>
            <w:vAlign w:val="center"/>
          </w:tcPr>
          <w:p w14:paraId="7CDA7E13" w14:textId="394A7DE2" w:rsidR="00E019FE" w:rsidRPr="00443AAF" w:rsidRDefault="00F21F0A" w:rsidP="00724E19">
            <w:pPr>
              <w:pStyle w:val="Heading1"/>
              <w:framePr w:hSpace="0" w:wrap="auto" w:vAnchor="margin" w:hAnchor="text" w:yAlign="inline"/>
              <w:outlineLvl w:val="0"/>
              <w:rPr>
                <w:rFonts w:asciiTheme="minorHAnsi" w:hAnsiTheme="minorHAnsi" w:cstheme="minorHAnsi"/>
              </w:rPr>
            </w:pPr>
            <w:r w:rsidRPr="00F21F0A">
              <w:rPr>
                <w:rFonts w:cstheme="minorHAnsi"/>
              </w:rPr>
              <w:t xml:space="preserve">Smoothing Out </w:t>
            </w:r>
            <w:r>
              <w:rPr>
                <w:rFonts w:cstheme="minorHAnsi"/>
              </w:rPr>
              <w:t>T</w:t>
            </w:r>
            <w:r w:rsidRPr="00F21F0A">
              <w:rPr>
                <w:rFonts w:cstheme="minorHAnsi"/>
              </w:rPr>
              <w:t>he SharePoint Upgrade Transition</w:t>
            </w:r>
            <w:r w:rsidR="006241A8">
              <w:rPr>
                <w:rFonts w:cstheme="minorHAnsi"/>
              </w:rPr>
              <w:t xml:space="preserve">  </w:t>
            </w:r>
          </w:p>
        </w:tc>
      </w:tr>
    </w:tbl>
    <w:p w14:paraId="18E1F5B9" w14:textId="3AAEF4AE" w:rsidR="00EF7230" w:rsidRDefault="006241A8" w:rsidP="006241A8">
      <w:pPr>
        <w:ind w:firstLine="720"/>
      </w:pPr>
      <w:r>
        <w:t xml:space="preserve">                </w:t>
      </w:r>
      <w:r>
        <w:rPr>
          <w:noProof/>
        </w:rPr>
        <w:drawing>
          <wp:inline distT="0" distB="0" distL="0" distR="0" wp14:anchorId="7A471E4D" wp14:editId="3CAE58D2">
            <wp:extent cx="4713080" cy="1828800"/>
            <wp:effectExtent l="0" t="0" r="0" b="0"/>
            <wp:docPr id="291" name="Picture 291" descr="URL path lengths for SharePoint Online expanded by 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RL path lengths for SharePoint Online expanded by Microsof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785777" cy="1857008"/>
                    </a:xfrm>
                    <a:prstGeom prst="rect">
                      <a:avLst/>
                    </a:prstGeom>
                    <a:noFill/>
                    <a:ln>
                      <a:noFill/>
                    </a:ln>
                  </pic:spPr>
                </pic:pic>
              </a:graphicData>
            </a:graphic>
          </wp:inline>
        </w:drawing>
      </w:r>
    </w:p>
    <w:tbl>
      <w:tblPr>
        <w:tblStyle w:val="TableGrid"/>
        <w:tblpPr w:leftFromText="180" w:rightFromText="180" w:vertAnchor="text" w:horzAnchor="margin" w:tblpY="-55"/>
        <w:tblW w:w="100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504"/>
        <w:gridCol w:w="9576"/>
      </w:tblGrid>
      <w:tr w:rsidR="00067EBE" w:rsidRPr="00443AAF" w14:paraId="1BAC8BE6" w14:textId="77777777" w:rsidTr="00724E19">
        <w:trPr>
          <w:cantSplit/>
          <w:trHeight w:val="1134"/>
        </w:trPr>
        <w:tc>
          <w:tcPr>
            <w:tcW w:w="504" w:type="dxa"/>
            <w:shd w:val="clear" w:color="auto" w:fill="5B9BD5" w:themeFill="accent1"/>
            <w:tcMar>
              <w:left w:w="0" w:type="dxa"/>
              <w:right w:w="0" w:type="dxa"/>
            </w:tcMar>
            <w:textDirection w:val="btLr"/>
          </w:tcPr>
          <w:p w14:paraId="322AC24F" w14:textId="66C5F665" w:rsidR="00067EBE" w:rsidRPr="00443AAF" w:rsidRDefault="002F7DD1" w:rsidP="00724E19">
            <w:pPr>
              <w:pStyle w:val="Heading1"/>
              <w:framePr w:hSpace="0" w:wrap="auto" w:vAnchor="margin" w:hAnchor="text" w:yAlign="inline"/>
              <w:outlineLvl w:val="0"/>
              <w:rPr>
                <w:rFonts w:asciiTheme="minorHAnsi" w:hAnsiTheme="minorHAnsi" w:cstheme="minorHAnsi"/>
              </w:rPr>
            </w:pPr>
            <w:bookmarkStart w:id="5" w:name="_Toc32497433"/>
            <w:r w:rsidRPr="002F7DD1">
              <w:rPr>
                <w:rFonts w:asciiTheme="minorHAnsi" w:hAnsiTheme="minorHAnsi" w:cstheme="minorHAnsi"/>
                <w:bCs/>
              </w:rPr>
              <w:lastRenderedPageBreak/>
              <w:t xml:space="preserve">Enterprise Technology Transfer System </w:t>
            </w:r>
            <w:r w:rsidR="00067EBE" w:rsidRPr="00067EBE">
              <w:rPr>
                <w:rFonts w:asciiTheme="minorHAnsi" w:hAnsiTheme="minorHAnsi" w:cstheme="minorHAnsi"/>
                <w:bCs/>
              </w:rPr>
              <w:t>Update</w:t>
            </w:r>
            <w:bookmarkEnd w:id="5"/>
            <w:r w:rsidR="00BE4C27">
              <w:rPr>
                <w:rFonts w:asciiTheme="minorHAnsi" w:hAnsiTheme="minorHAnsi" w:cstheme="minorHAnsi"/>
                <w:bCs/>
              </w:rPr>
              <w:t>s</w:t>
            </w:r>
          </w:p>
        </w:tc>
        <w:tc>
          <w:tcPr>
            <w:tcW w:w="9576" w:type="dxa"/>
          </w:tcPr>
          <w:p w14:paraId="2D6D0C92" w14:textId="389C0AE6" w:rsidR="00067EBE" w:rsidRPr="006241A8" w:rsidRDefault="004C28EA" w:rsidP="00724E19">
            <w:pPr>
              <w:pStyle w:val="Heading2"/>
              <w:ind w:right="114"/>
              <w:outlineLvl w:val="1"/>
              <w:rPr>
                <w:rFonts w:asciiTheme="minorHAnsi" w:hAnsiTheme="minorHAnsi" w:cstheme="minorHAnsi"/>
                <w:b/>
                <w:bCs/>
                <w:sz w:val="36"/>
                <w:szCs w:val="36"/>
              </w:rPr>
            </w:pPr>
            <w:r w:rsidRPr="006241A8">
              <w:rPr>
                <w:rFonts w:asciiTheme="minorHAnsi" w:hAnsiTheme="minorHAnsi" w:cstheme="minorHAnsi"/>
                <w:b/>
                <w:bCs/>
                <w:sz w:val="36"/>
                <w:szCs w:val="36"/>
              </w:rPr>
              <w:t xml:space="preserve">Enterprise Technology Transfer System </w:t>
            </w:r>
            <w:r w:rsidR="00067EBE" w:rsidRPr="006241A8">
              <w:rPr>
                <w:rFonts w:asciiTheme="minorHAnsi" w:hAnsiTheme="minorHAnsi" w:cstheme="minorHAnsi"/>
                <w:b/>
                <w:bCs/>
                <w:sz w:val="36"/>
                <w:szCs w:val="36"/>
              </w:rPr>
              <w:t>Update</w:t>
            </w:r>
            <w:r w:rsidR="00BE4C27">
              <w:rPr>
                <w:rFonts w:asciiTheme="minorHAnsi" w:hAnsiTheme="minorHAnsi" w:cstheme="minorHAnsi"/>
                <w:b/>
                <w:bCs/>
                <w:sz w:val="36"/>
                <w:szCs w:val="36"/>
              </w:rPr>
              <w:t>s</w:t>
            </w:r>
          </w:p>
          <w:p w14:paraId="616DA339" w14:textId="605F99B9" w:rsidR="00080BF0" w:rsidRPr="00080BF0" w:rsidRDefault="00067EBE" w:rsidP="00080BF0">
            <w:pPr>
              <w:pStyle w:val="Subtitle"/>
              <w:framePr w:hSpace="0" w:wrap="auto" w:vAnchor="margin" w:hAnchor="text" w:yAlign="inline"/>
              <w:spacing w:after="120"/>
              <w:ind w:right="115"/>
              <w:rPr>
                <w:rFonts w:asciiTheme="minorHAnsi" w:hAnsiTheme="minorHAnsi" w:cstheme="minorHAnsi"/>
              </w:rPr>
            </w:pPr>
            <w:r>
              <w:rPr>
                <w:rFonts w:asciiTheme="minorHAnsi" w:hAnsiTheme="minorHAnsi" w:cstheme="minorHAnsi"/>
              </w:rPr>
              <w:t>Timothy Leahy, OTT</w:t>
            </w:r>
          </w:p>
          <w:p w14:paraId="1FC2CDB3" w14:textId="77777777" w:rsidR="00080BF0" w:rsidRDefault="00080BF0" w:rsidP="00080BF0"/>
          <w:p w14:paraId="3DD98185" w14:textId="38ED500C" w:rsidR="00080BF0" w:rsidRDefault="00080BF0" w:rsidP="00080BF0">
            <w:r>
              <w:t xml:space="preserve">The NIH started to develop the Enterprise Technology Transfer (ETT) System after the need for a robust, centralized IT platform to support technology transfer was identified. The ETT System is being developed in partnership between the Office of Technology Transfer and the technology transfer offices within the ICs. The development and ongoing improvement of this system is being guided by the Technology Transfer User Group (TTUG), which is made up of high-level stakeholders from the community. </w:t>
            </w:r>
          </w:p>
          <w:p w14:paraId="5C4AA082" w14:textId="77777777" w:rsidR="00080BF0" w:rsidRDefault="00080BF0" w:rsidP="00080BF0"/>
          <w:p w14:paraId="35FC8939" w14:textId="77777777" w:rsidR="00080BF0" w:rsidRDefault="00080BF0" w:rsidP="00080BF0">
            <w:r>
              <w:t xml:space="preserve">The NIH Office of Technology Transfer has taken a long-term approach to IT management to ensure the longevity of the ETT System. After identifying the full scope of business processes used by the NIH Technology Transfer Community, OTT found the points at which applications can best be leveraged to support this process and has planned for the implementation and ongoing improvement of Inteum’s “Minuet” software, which has been selected as the commercial off-the-shelf (COTS) product for the future ETT system. </w:t>
            </w:r>
          </w:p>
          <w:p w14:paraId="34291C0F" w14:textId="77777777" w:rsidR="00080BF0" w:rsidRDefault="00080BF0" w:rsidP="00080BF0"/>
          <w:p w14:paraId="282648D0" w14:textId="77777777" w:rsidR="00080BF0" w:rsidRDefault="00080BF0" w:rsidP="00080BF0">
            <w:r>
              <w:t xml:space="preserve">The stop work order for the ETT system acquisition was lifted in December 2019, allowing the ETT team to rapidly re-initiate collaboration with Inteum. Q1 2020 saw the team close gaps in the project scope and finalize the requirements, plan, and schedule for the ETT system implementation. </w:t>
            </w:r>
          </w:p>
          <w:p w14:paraId="5FC4137A" w14:textId="6FCB5ECB" w:rsidR="00080BF0" w:rsidRDefault="00080BF0" w:rsidP="00080BF0">
            <w:r>
              <w:rPr>
                <w:rFonts w:cstheme="minorHAnsi"/>
                <w:noProof/>
                <w:color w:val="000000" w:themeColor="text1"/>
              </w:rPr>
              <w:drawing>
                <wp:anchor distT="0" distB="0" distL="114300" distR="114300" simplePos="0" relativeHeight="251784192" behindDoc="0" locked="0" layoutInCell="1" allowOverlap="1" wp14:anchorId="4D71009F" wp14:editId="52DC9965">
                  <wp:simplePos x="0" y="0"/>
                  <wp:positionH relativeFrom="column">
                    <wp:posOffset>209550</wp:posOffset>
                  </wp:positionH>
                  <wp:positionV relativeFrom="paragraph">
                    <wp:posOffset>102235</wp:posOffset>
                  </wp:positionV>
                  <wp:extent cx="5982970" cy="2250932"/>
                  <wp:effectExtent l="0" t="0" r="0" b="4546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ekPng.com_nasa-logo-png_384569.png"/>
                          <pic:cNvPicPr/>
                        </pic:nvPicPr>
                        <pic:blipFill>
                          <a:blip r:embed="rId30" cstate="screen">
                            <a:alphaModFix amt="12000"/>
                            <a:extLst>
                              <a:ext uri="{28A0092B-C50C-407E-A947-70E740481C1C}">
                                <a14:useLocalDpi xmlns:a14="http://schemas.microsoft.com/office/drawing/2010/main"/>
                              </a:ext>
                            </a:extLst>
                          </a:blip>
                          <a:stretch>
                            <a:fillRect/>
                          </a:stretch>
                        </pic:blipFill>
                        <pic:spPr>
                          <a:xfrm rot="20925217" flipH="1">
                            <a:off x="0" y="0"/>
                            <a:ext cx="5982970" cy="2250932"/>
                          </a:xfrm>
                          <a:prstGeom prst="rect">
                            <a:avLst/>
                          </a:prstGeom>
                        </pic:spPr>
                      </pic:pic>
                    </a:graphicData>
                  </a:graphic>
                  <wp14:sizeRelH relativeFrom="page">
                    <wp14:pctWidth>0</wp14:pctWidth>
                  </wp14:sizeRelH>
                  <wp14:sizeRelV relativeFrom="page">
                    <wp14:pctHeight>0</wp14:pctHeight>
                  </wp14:sizeRelV>
                </wp:anchor>
              </w:drawing>
            </w:r>
          </w:p>
          <w:p w14:paraId="002C06D7" w14:textId="5E96EC40" w:rsidR="00080BF0" w:rsidRDefault="00080BF0" w:rsidP="00080BF0">
            <w:r>
              <w:t>Major activities include:</w:t>
            </w:r>
          </w:p>
          <w:p w14:paraId="37EA1300" w14:textId="58C20554" w:rsidR="00080BF0" w:rsidRDefault="00080BF0" w:rsidP="00080BF0"/>
          <w:p w14:paraId="340F1F94" w14:textId="1D90F88A" w:rsidR="00080BF0" w:rsidRDefault="00080BF0" w:rsidP="00080BF0">
            <w:pPr>
              <w:pStyle w:val="ListParagraph"/>
              <w:numPr>
                <w:ilvl w:val="0"/>
                <w:numId w:val="31"/>
              </w:numPr>
            </w:pPr>
            <w:r>
              <w:t>Working on the data migration</w:t>
            </w:r>
          </w:p>
          <w:p w14:paraId="433B3075" w14:textId="2F411B91" w:rsidR="00080BF0" w:rsidRDefault="00080BF0" w:rsidP="00080BF0">
            <w:pPr>
              <w:pStyle w:val="ListParagraph"/>
              <w:numPr>
                <w:ilvl w:val="0"/>
                <w:numId w:val="31"/>
              </w:numPr>
            </w:pPr>
            <w:r>
              <w:t>Installing the software in the STAGE environment for testing and training</w:t>
            </w:r>
          </w:p>
          <w:p w14:paraId="50BEC980" w14:textId="11E8F471" w:rsidR="00080BF0" w:rsidRDefault="00080BF0" w:rsidP="00080BF0">
            <w:pPr>
              <w:pStyle w:val="ListParagraph"/>
              <w:numPr>
                <w:ilvl w:val="0"/>
                <w:numId w:val="31"/>
              </w:numPr>
            </w:pPr>
            <w:r>
              <w:t>Getting all the security controls in place</w:t>
            </w:r>
          </w:p>
          <w:p w14:paraId="42451AE7" w14:textId="22758B61" w:rsidR="00080BF0" w:rsidRDefault="00080BF0" w:rsidP="00080BF0"/>
          <w:p w14:paraId="7025DCDE" w14:textId="51044B19" w:rsidR="00080BF0" w:rsidRDefault="00080BF0" w:rsidP="00080BF0">
            <w:r>
              <w:t>The progress made in Q1 is allowing the ETT team to push hard to roll out the new system in Ju</w:t>
            </w:r>
            <w:r w:rsidR="002B557C">
              <w:t>ly</w:t>
            </w:r>
            <w:r>
              <w:t xml:space="preserve">. </w:t>
            </w:r>
          </w:p>
          <w:p w14:paraId="77971F64" w14:textId="44045F46" w:rsidR="00080BF0" w:rsidRDefault="00080BF0" w:rsidP="00080BF0"/>
          <w:p w14:paraId="5094326F" w14:textId="7B99F8CE" w:rsidR="00080BF0" w:rsidRDefault="00080BF0" w:rsidP="00080BF0">
            <w:pPr>
              <w:rPr>
                <w:b/>
              </w:rPr>
            </w:pPr>
            <w:r>
              <w:rPr>
                <w:b/>
              </w:rPr>
              <w:t>Milestones</w:t>
            </w:r>
          </w:p>
          <w:p w14:paraId="3C143BD0" w14:textId="238B5F1E" w:rsidR="00080BF0" w:rsidRPr="00080BF0" w:rsidRDefault="00080BF0" w:rsidP="00080BF0">
            <w:pPr>
              <w:rPr>
                <w:b/>
              </w:rPr>
            </w:pPr>
          </w:p>
          <w:p w14:paraId="31303955" w14:textId="6126D2C0" w:rsidR="00080BF0" w:rsidRDefault="00080BF0" w:rsidP="00080BF0">
            <w:pPr>
              <w:pStyle w:val="ListParagraph"/>
              <w:numPr>
                <w:ilvl w:val="0"/>
                <w:numId w:val="32"/>
              </w:numPr>
            </w:pPr>
            <w:r>
              <w:t>Continued gap analysis and ETT implementation planning with Inteum</w:t>
            </w:r>
          </w:p>
          <w:p w14:paraId="4D5E9A74" w14:textId="3A0A144B" w:rsidR="00080BF0" w:rsidRDefault="00080BF0" w:rsidP="00080BF0">
            <w:pPr>
              <w:pStyle w:val="ListParagraph"/>
            </w:pPr>
          </w:p>
          <w:p w14:paraId="22143458" w14:textId="5FA11409" w:rsidR="00080BF0" w:rsidRDefault="00080BF0" w:rsidP="00080BF0">
            <w:pPr>
              <w:pStyle w:val="ListParagraph"/>
              <w:numPr>
                <w:ilvl w:val="1"/>
                <w:numId w:val="32"/>
              </w:numPr>
            </w:pPr>
            <w:r>
              <w:t>Completed documentation of law firm portal requirements and ETT touchpoints</w:t>
            </w:r>
          </w:p>
          <w:p w14:paraId="7C28CBDD" w14:textId="3B0615FD" w:rsidR="00080BF0" w:rsidRDefault="00080BF0" w:rsidP="00080BF0">
            <w:pPr>
              <w:pStyle w:val="ListParagraph"/>
              <w:numPr>
                <w:ilvl w:val="1"/>
                <w:numId w:val="32"/>
              </w:numPr>
            </w:pPr>
            <w:r>
              <w:t>Continued work on prototype for new LFP website</w:t>
            </w:r>
          </w:p>
          <w:p w14:paraId="4421CA75" w14:textId="10A252B6" w:rsidR="00080BF0" w:rsidRDefault="00080BF0" w:rsidP="00080BF0">
            <w:pPr>
              <w:pStyle w:val="ListParagraph"/>
              <w:numPr>
                <w:ilvl w:val="1"/>
                <w:numId w:val="32"/>
              </w:numPr>
            </w:pPr>
            <w:r>
              <w:t>Facilitated TTUG meetings to document business requirements for changes to the Minuet system interface</w:t>
            </w:r>
          </w:p>
          <w:p w14:paraId="5F60B701" w14:textId="0680571D" w:rsidR="00080BF0" w:rsidRDefault="00080BF0" w:rsidP="00080BF0">
            <w:pPr>
              <w:pStyle w:val="ListParagraph"/>
              <w:numPr>
                <w:ilvl w:val="1"/>
                <w:numId w:val="32"/>
              </w:numPr>
            </w:pPr>
            <w:r>
              <w:t>Continued working with Inteum to define/analyze financial management features</w:t>
            </w:r>
          </w:p>
          <w:p w14:paraId="1C598CAA" w14:textId="40743E91" w:rsidR="00080BF0" w:rsidRDefault="00080BF0" w:rsidP="00080BF0">
            <w:pPr>
              <w:pStyle w:val="ListParagraph"/>
              <w:numPr>
                <w:ilvl w:val="1"/>
                <w:numId w:val="32"/>
              </w:numPr>
            </w:pPr>
            <w:r>
              <w:t>Began generation of use cases for the core ETT system</w:t>
            </w:r>
          </w:p>
          <w:p w14:paraId="32760D6E" w14:textId="466E77E8" w:rsidR="00080BF0" w:rsidRDefault="00080BF0" w:rsidP="00080BF0">
            <w:pPr>
              <w:pStyle w:val="ListParagraph"/>
              <w:numPr>
                <w:ilvl w:val="1"/>
                <w:numId w:val="32"/>
              </w:numPr>
            </w:pPr>
            <w:r>
              <w:t>Continued finalizing the detailed functional requirements necessary to support NIH technology transfer community business processes</w:t>
            </w:r>
          </w:p>
          <w:p w14:paraId="74064642" w14:textId="77777777" w:rsidR="00080BF0" w:rsidRDefault="00080BF0" w:rsidP="00080BF0">
            <w:pPr>
              <w:pStyle w:val="ListParagraph"/>
              <w:ind w:left="1440"/>
            </w:pPr>
          </w:p>
          <w:p w14:paraId="75EE0D39" w14:textId="77777777" w:rsidR="00080BF0" w:rsidRDefault="00080BF0" w:rsidP="00080BF0">
            <w:pPr>
              <w:pStyle w:val="ListParagraph"/>
              <w:numPr>
                <w:ilvl w:val="0"/>
                <w:numId w:val="32"/>
              </w:numPr>
            </w:pPr>
            <w:r>
              <w:t>Continued the validation of data and business rules in NIH TechTracS, as well as refinement of the data migration reference document to facilitate the migration of data into the ETT system</w:t>
            </w:r>
          </w:p>
          <w:p w14:paraId="487E42DC" w14:textId="77777777" w:rsidR="00080BF0" w:rsidRDefault="00080BF0" w:rsidP="00080BF0">
            <w:pPr>
              <w:pStyle w:val="ListParagraph"/>
              <w:numPr>
                <w:ilvl w:val="0"/>
                <w:numId w:val="32"/>
              </w:numPr>
            </w:pPr>
            <w:r>
              <w:t>Continued evaluation of sample data exports from legacy systems</w:t>
            </w:r>
          </w:p>
          <w:p w14:paraId="73D251C0" w14:textId="1684F2BD" w:rsidR="002032F8" w:rsidRPr="00080BF0" w:rsidRDefault="00080BF0" w:rsidP="00080BF0">
            <w:pPr>
              <w:pStyle w:val="ListParagraph"/>
              <w:numPr>
                <w:ilvl w:val="0"/>
                <w:numId w:val="32"/>
              </w:numPr>
            </w:pPr>
            <w:r>
              <w:t>Maintained information on law firm invoice processing for the new Patent Legal Services (PLS) contract, and drafted initial workflow with input from IC personnel</w:t>
            </w:r>
          </w:p>
          <w:p w14:paraId="2FC52226" w14:textId="25178F1D" w:rsidR="00067EBE" w:rsidRPr="00067EBE" w:rsidRDefault="00067EBE" w:rsidP="00067EBE">
            <w:pPr>
              <w:spacing w:before="120"/>
              <w:rPr>
                <w:rFonts w:cstheme="minorHAnsi"/>
                <w:color w:val="000000" w:themeColor="text1"/>
              </w:rPr>
            </w:pPr>
            <w:r w:rsidRPr="00067EBE">
              <w:rPr>
                <w:rFonts w:cstheme="minorHAnsi"/>
                <w:color w:val="000000" w:themeColor="text1"/>
              </w:rPr>
              <w:t xml:space="preserve">We will be </w:t>
            </w:r>
            <w:r w:rsidR="00080BF0">
              <w:rPr>
                <w:rFonts w:cstheme="minorHAnsi"/>
                <w:color w:val="000000" w:themeColor="text1"/>
              </w:rPr>
              <w:t xml:space="preserve">continuing to </w:t>
            </w:r>
            <w:r w:rsidRPr="00067EBE">
              <w:rPr>
                <w:rFonts w:cstheme="minorHAnsi"/>
                <w:color w:val="000000" w:themeColor="text1"/>
              </w:rPr>
              <w:t>provid</w:t>
            </w:r>
            <w:r w:rsidR="00080BF0">
              <w:rPr>
                <w:rFonts w:cstheme="minorHAnsi"/>
                <w:color w:val="000000" w:themeColor="text1"/>
              </w:rPr>
              <w:t>e</w:t>
            </w:r>
            <w:r w:rsidRPr="00067EBE">
              <w:rPr>
                <w:rFonts w:cstheme="minorHAnsi"/>
                <w:color w:val="000000" w:themeColor="text1"/>
              </w:rPr>
              <w:t xml:space="preserve"> regular updates on the status of the implementation to the members of the TTUG so they can relay the information to their respective organizations.</w:t>
            </w:r>
          </w:p>
          <w:p w14:paraId="0A69E616" w14:textId="77777777" w:rsidR="00067EBE" w:rsidRPr="00443AAF" w:rsidRDefault="00067EBE" w:rsidP="00724E19">
            <w:pPr>
              <w:spacing w:line="120" w:lineRule="exact"/>
              <w:rPr>
                <w:rFonts w:cstheme="minorHAnsi"/>
              </w:rPr>
            </w:pPr>
          </w:p>
        </w:tc>
      </w:tr>
    </w:tbl>
    <w:p w14:paraId="12C8AFC7" w14:textId="353F52D3" w:rsidR="00080BF0" w:rsidRDefault="00080BF0" w:rsidP="00240785"/>
    <w:p w14:paraId="595942DD" w14:textId="77777777" w:rsidR="00080BF0" w:rsidRDefault="00080BF0" w:rsidP="00240785"/>
    <w:tbl>
      <w:tblPr>
        <w:tblStyle w:val="TableGrid"/>
        <w:tblpPr w:leftFromText="180" w:rightFromText="180" w:vertAnchor="text" w:horzAnchor="margin" w:tblpY="140"/>
        <w:tblW w:w="103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9625"/>
        <w:gridCol w:w="720"/>
      </w:tblGrid>
      <w:tr w:rsidR="007B11E6" w:rsidRPr="00443AAF" w14:paraId="585C1CEC" w14:textId="77777777" w:rsidTr="00C22F07">
        <w:trPr>
          <w:cantSplit/>
          <w:trHeight w:val="1134"/>
        </w:trPr>
        <w:tc>
          <w:tcPr>
            <w:tcW w:w="9625" w:type="dxa"/>
          </w:tcPr>
          <w:p w14:paraId="58ED58B0" w14:textId="506D684F" w:rsidR="007B11E6" w:rsidRPr="003214DB" w:rsidRDefault="007755FD" w:rsidP="007B11E6">
            <w:pPr>
              <w:pStyle w:val="Heading2"/>
              <w:outlineLvl w:val="1"/>
              <w:rPr>
                <w:rFonts w:cstheme="minorHAnsi"/>
                <w:b/>
              </w:rPr>
            </w:pPr>
            <w:r>
              <w:rPr>
                <w:rFonts w:cstheme="minorHAnsi"/>
                <w:b/>
              </w:rPr>
              <w:t>N</w:t>
            </w:r>
            <w:r w:rsidR="00FE4AB0">
              <w:rPr>
                <w:rFonts w:cstheme="minorHAnsi"/>
                <w:b/>
              </w:rPr>
              <w:t>ew NCI Technology Transfer Ambassadors Announced For 2020</w:t>
            </w:r>
          </w:p>
          <w:p w14:paraId="38526C72" w14:textId="763B30F3" w:rsidR="007B11E6" w:rsidRDefault="00C141B8" w:rsidP="00724E19">
            <w:pPr>
              <w:pStyle w:val="Subtitle"/>
              <w:framePr w:hSpace="0" w:wrap="auto" w:vAnchor="margin" w:hAnchor="text" w:yAlign="inline"/>
              <w:rPr>
                <w:rFonts w:cstheme="minorHAnsi"/>
              </w:rPr>
            </w:pPr>
            <w:r>
              <w:rPr>
                <w:rFonts w:asciiTheme="minorHAnsi" w:hAnsiTheme="minorHAnsi" w:cstheme="minorHAnsi"/>
              </w:rPr>
              <w:t>Laura Prestia</w:t>
            </w:r>
            <w:r w:rsidR="007B11E6">
              <w:rPr>
                <w:rFonts w:cstheme="minorHAnsi"/>
              </w:rPr>
              <w:t xml:space="preserve">, </w:t>
            </w:r>
            <w:r w:rsidR="00CF4203">
              <w:rPr>
                <w:rFonts w:cstheme="minorHAnsi"/>
              </w:rPr>
              <w:t>NCI</w:t>
            </w:r>
          </w:p>
          <w:p w14:paraId="12518DE3" w14:textId="77777777" w:rsidR="0006168C" w:rsidRDefault="00290F5E" w:rsidP="00290F5E">
            <w:pPr>
              <w:rPr>
                <w:color w:val="000000"/>
              </w:rPr>
            </w:pPr>
            <w:r>
              <w:t xml:space="preserve">Please help us officially welcome the new Ambassadors competitively selected to join NCI Technology Transfer Center’s (TTC) </w:t>
            </w:r>
            <w:hyperlink r:id="rId31" w:history="1">
              <w:r>
                <w:rPr>
                  <w:rStyle w:val="Hyperlink"/>
                </w:rPr>
                <w:t>Technology Transfer Ambassadors Program (TTAP)</w:t>
              </w:r>
            </w:hyperlink>
            <w:r>
              <w:t xml:space="preserve"> for 2020. </w:t>
            </w:r>
            <w:r>
              <w:rPr>
                <w:color w:val="000000"/>
              </w:rPr>
              <w:t>Congratulations to</w:t>
            </w:r>
          </w:p>
          <w:p w14:paraId="7C0E2CDB" w14:textId="5DBD094A" w:rsidR="00E92BF5" w:rsidRDefault="00290F5E" w:rsidP="00290F5E">
            <w:pPr>
              <w:rPr>
                <w:color w:val="000000"/>
              </w:rPr>
            </w:pPr>
            <w:r>
              <w:rPr>
                <w:color w:val="000000"/>
              </w:rPr>
              <w:t xml:space="preserve">all the Ambassadors who recently passed TT Boot Camp and are now approved to work within a TTC </w:t>
            </w:r>
          </w:p>
          <w:p w14:paraId="285B7692" w14:textId="68A77A5D" w:rsidR="00290F5E" w:rsidRDefault="00290F5E" w:rsidP="00290F5E">
            <w:pPr>
              <w:rPr>
                <w:color w:val="000000"/>
              </w:rPr>
            </w:pPr>
            <w:r>
              <w:rPr>
                <w:color w:val="000000"/>
              </w:rPr>
              <w:t>Unit through December of this year!</w:t>
            </w:r>
          </w:p>
          <w:p w14:paraId="32E83E30" w14:textId="12A67482" w:rsidR="00FE4AB0" w:rsidRDefault="00FE4AB0" w:rsidP="00290F5E">
            <w:pPr>
              <w:rPr>
                <w:color w:val="000000"/>
              </w:rPr>
            </w:pPr>
          </w:p>
          <w:p w14:paraId="16D06B22" w14:textId="54AAAAE7" w:rsidR="00FE4AB0" w:rsidRDefault="00FE4AB0" w:rsidP="00290F5E">
            <w:pPr>
              <w:rPr>
                <w:color w:val="000000"/>
              </w:rPr>
            </w:pPr>
          </w:p>
          <w:p w14:paraId="326B388F" w14:textId="055AE45B" w:rsidR="00FE4AB0" w:rsidRDefault="00E92BF5" w:rsidP="00290F5E">
            <w:pPr>
              <w:rPr>
                <w:color w:val="000000"/>
              </w:rPr>
            </w:pPr>
            <w:r>
              <w:rPr>
                <w:noProof/>
              </w:rPr>
              <w:drawing>
                <wp:inline distT="0" distB="0" distL="0" distR="0" wp14:anchorId="03F9A647" wp14:editId="1B6C94DD">
                  <wp:extent cx="1805940" cy="2028451"/>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1838717" cy="206526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11A862" wp14:editId="59DF5AB3">
                  <wp:extent cx="1759670" cy="203095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kedIn_Lidia Beka.jpg"/>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794306" cy="20709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AF7322E" wp14:editId="433DA0FB">
                  <wp:extent cx="1676590" cy="20423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bert.jpg"/>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1726680" cy="2103409"/>
                          </a:xfrm>
                          <a:prstGeom prst="rect">
                            <a:avLst/>
                          </a:prstGeom>
                          <a:ln>
                            <a:noFill/>
                          </a:ln>
                          <a:extLst>
                            <a:ext uri="{53640926-AAD7-44D8-BBD7-CCE9431645EC}">
                              <a14:shadowObscured xmlns:a14="http://schemas.microsoft.com/office/drawing/2010/main"/>
                            </a:ext>
                          </a:extLst>
                        </pic:spPr>
                      </pic:pic>
                    </a:graphicData>
                  </a:graphic>
                </wp:inline>
              </w:drawing>
            </w:r>
          </w:p>
          <w:p w14:paraId="130081F2" w14:textId="1585E926" w:rsidR="00FE4AB0" w:rsidRDefault="00FE4AB0" w:rsidP="00290F5E">
            <w:pPr>
              <w:rPr>
                <w:color w:val="000000"/>
              </w:rPr>
            </w:pPr>
          </w:p>
          <w:p w14:paraId="29ED588B" w14:textId="284B2181" w:rsidR="00E92BF5" w:rsidRDefault="00E92BF5" w:rsidP="00290F5E">
            <w:r>
              <w:t>Mukta Nag, PhD (NCI-FNLCR)            Lidia Beka, PhD (NIAID)</w:t>
            </w:r>
            <w:r w:rsidR="00E60236">
              <w:t xml:space="preserve">        Albert Burgess-Hull, PhD (NIDA)  </w:t>
            </w:r>
          </w:p>
          <w:p w14:paraId="4D4E0E2D" w14:textId="49A0E5AC" w:rsidR="00FE4AB0" w:rsidRDefault="00E92BF5" w:rsidP="00290F5E">
            <w:r>
              <w:t>PI:</w:t>
            </w:r>
            <w:r w:rsidRPr="00AD2140">
              <w:t xml:space="preserve"> Gregory Q. Del Prete, PhD</w:t>
            </w:r>
            <w:r>
              <w:t xml:space="preserve">        PI: </w:t>
            </w:r>
            <w:r w:rsidRPr="00AD2140">
              <w:t>John P. Dekker, MD, PhD</w:t>
            </w:r>
            <w:r w:rsidR="00E60236">
              <w:t xml:space="preserve">         PI: </w:t>
            </w:r>
            <w:r w:rsidR="00E60236" w:rsidRPr="00AD2140">
              <w:t>David H. Epstein, PhD</w:t>
            </w:r>
          </w:p>
          <w:p w14:paraId="3C97D48C" w14:textId="27C1C944" w:rsidR="00FE3801" w:rsidRDefault="00FE3801" w:rsidP="00290F5E"/>
          <w:p w14:paraId="5052F757" w14:textId="19E7A2F1" w:rsidR="00FE3801" w:rsidRDefault="00FE3801" w:rsidP="00290F5E"/>
          <w:p w14:paraId="6662C553" w14:textId="07D38F75" w:rsidR="00FE3801" w:rsidRDefault="00FE3801" w:rsidP="00290F5E">
            <w:pPr>
              <w:rPr>
                <w:color w:val="000000"/>
              </w:rPr>
            </w:pPr>
            <w:r>
              <w:rPr>
                <w:noProof/>
              </w:rPr>
              <w:drawing>
                <wp:inline distT="0" distB="0" distL="0" distR="0" wp14:anchorId="0839AE5C" wp14:editId="5B53B8AE">
                  <wp:extent cx="1789546" cy="21031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p.png"/>
                          <pic:cNvPicPr/>
                        </pic:nvPicPr>
                        <pic:blipFill rotWithShape="1">
                          <a:blip r:embed="rId35" cstate="screen">
                            <a:extLst>
                              <a:ext uri="{28A0092B-C50C-407E-A947-70E740481C1C}">
                                <a14:useLocalDpi xmlns:a14="http://schemas.microsoft.com/office/drawing/2010/main"/>
                              </a:ext>
                            </a:extLst>
                          </a:blip>
                          <a:srcRect t="-1399"/>
                          <a:stretch/>
                        </pic:blipFill>
                        <pic:spPr bwMode="auto">
                          <a:xfrm>
                            <a:off x="0" y="0"/>
                            <a:ext cx="1840562" cy="21630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8F5985" wp14:editId="3FF86620">
                  <wp:extent cx="1749425" cy="2080928"/>
                  <wp:effectExtent l="0" t="0" r="317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1787843" cy="21266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A3340F6" wp14:editId="60ED3870">
                  <wp:extent cx="1732510" cy="2094865"/>
                  <wp:effectExtent l="0" t="0" r="127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ei Zhao.jpg"/>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1792398" cy="2167279"/>
                          </a:xfrm>
                          <a:prstGeom prst="rect">
                            <a:avLst/>
                          </a:prstGeom>
                          <a:ln>
                            <a:noFill/>
                          </a:ln>
                          <a:extLst>
                            <a:ext uri="{53640926-AAD7-44D8-BBD7-CCE9431645EC}">
                              <a14:shadowObscured xmlns:a14="http://schemas.microsoft.com/office/drawing/2010/main"/>
                            </a:ext>
                          </a:extLst>
                        </pic:spPr>
                      </pic:pic>
                    </a:graphicData>
                  </a:graphic>
                </wp:inline>
              </w:drawing>
            </w:r>
          </w:p>
          <w:p w14:paraId="1FB749B9" w14:textId="5593F98D" w:rsidR="00FE4AB0" w:rsidRDefault="00FE4AB0" w:rsidP="00290F5E">
            <w:pPr>
              <w:rPr>
                <w:color w:val="000000"/>
              </w:rPr>
            </w:pPr>
          </w:p>
          <w:p w14:paraId="28D96AAB" w14:textId="37DDF0CC" w:rsidR="00FE4AB0" w:rsidRDefault="00FE4AB0" w:rsidP="00290F5E">
            <w:pPr>
              <w:rPr>
                <w:color w:val="000000"/>
              </w:rPr>
            </w:pPr>
          </w:p>
          <w:p w14:paraId="2BB5B10E" w14:textId="1E8208C3" w:rsidR="00FE3801" w:rsidRDefault="00FE3801" w:rsidP="00290F5E">
            <w:r>
              <w:t>Diptadip Dattaroy, PhD (NIDDK)</w:t>
            </w:r>
            <w:r w:rsidR="00C22F07">
              <w:t xml:space="preserve">  Cindo Nicholson, PhD (NIEHS)        Fei Zhang, PhD (NIEHS)</w:t>
            </w:r>
          </w:p>
          <w:p w14:paraId="705DB043" w14:textId="36E08FA3" w:rsidR="00FE4AB0" w:rsidRPr="00C22F07" w:rsidRDefault="00C22F07" w:rsidP="00290F5E">
            <w:r>
              <w:t xml:space="preserve">       </w:t>
            </w:r>
            <w:r w:rsidR="00FE3801">
              <w:t xml:space="preserve">PI: </w:t>
            </w:r>
            <w:r w:rsidR="00FE3801" w:rsidRPr="00AD2140">
              <w:t>Jürgen Wess, PhD</w:t>
            </w:r>
            <w:r>
              <w:t xml:space="preserve">                 PI: </w:t>
            </w:r>
            <w:r w:rsidRPr="00AD2140">
              <w:t>Perry J. Blackshear, MD</w:t>
            </w:r>
            <w:r>
              <w:t xml:space="preserve">           PI: Michael Fessler, M</w:t>
            </w:r>
            <w:r w:rsidR="0006168C">
              <w:t>D</w:t>
            </w:r>
          </w:p>
          <w:p w14:paraId="10B82CA0" w14:textId="0494B1EC" w:rsidR="00FE4AB0" w:rsidRDefault="00FE4AB0" w:rsidP="00290F5E">
            <w:pPr>
              <w:rPr>
                <w:color w:val="000000"/>
              </w:rPr>
            </w:pPr>
          </w:p>
          <w:p w14:paraId="4A32901B" w14:textId="77777777" w:rsidR="00C22F07" w:rsidRDefault="00FE4AB0" w:rsidP="00FE4AB0">
            <w:r>
              <w:t xml:space="preserve">The Ambassadors have been busy learning about technology transfer processes, skills, and commercialization through TTAP’s Boot Camp curriculum, taught by TTAP Team Leads and TTMs. Boot Camp is a rigorous curriculum lasting from January to March, where Ambassadors balance their research activities with hands on TT training. The Boot Camp culminates with Final Projects where Ambassadors must successfully demonstrate what they have learned before they are approved to fully join TTAP and </w:t>
            </w:r>
          </w:p>
          <w:p w14:paraId="7DED1D61" w14:textId="5FD003E7" w:rsidR="00FE4AB0" w:rsidRDefault="00FE4AB0" w:rsidP="00FE4AB0">
            <w:pPr>
              <w:rPr>
                <w:color w:val="000000"/>
              </w:rPr>
            </w:pPr>
            <w:r>
              <w:lastRenderedPageBreak/>
              <w:t xml:space="preserve">work in a TTC Unit. For Final Projects, Ambassadors are </w:t>
            </w:r>
            <w:r>
              <w:rPr>
                <w:color w:val="000000"/>
              </w:rPr>
              <w:t xml:space="preserve">assigned a technology managed by NCI TTC and asked to complete an Invention Summary report, make a patenting recommendation, and prepare and present a ~15 minute presentation on their findings. After Boot Camp, TTAP Ambassadors who successfully pass the Boot Camp are assigned to work with a TTC Unit. </w:t>
            </w:r>
          </w:p>
          <w:p w14:paraId="0C8D1332" w14:textId="77777777" w:rsidR="00FE4AB0" w:rsidRDefault="00FE4AB0" w:rsidP="00FE4AB0">
            <w:pPr>
              <w:rPr>
                <w:color w:val="000000"/>
              </w:rPr>
            </w:pPr>
          </w:p>
          <w:p w14:paraId="1B26150C" w14:textId="31C4129B" w:rsidR="00FE4AB0" w:rsidRDefault="00FE4AB0" w:rsidP="00FE4AB0">
            <w:pPr>
              <w:rPr>
                <w:b/>
                <w:bCs/>
                <w:color w:val="000000"/>
                <w:u w:val="single"/>
              </w:rPr>
            </w:pPr>
            <w:r w:rsidRPr="00E92BF5">
              <w:rPr>
                <w:b/>
                <w:bCs/>
                <w:color w:val="000000"/>
                <w:u w:val="single"/>
              </w:rPr>
              <w:t xml:space="preserve">TTAP is a full TTC team effort  </w:t>
            </w:r>
          </w:p>
          <w:p w14:paraId="4A0A9BAD" w14:textId="77777777" w:rsidR="00E92BF5" w:rsidRPr="00E92BF5" w:rsidRDefault="00E92BF5" w:rsidP="00FE4AB0">
            <w:pPr>
              <w:rPr>
                <w:b/>
                <w:bCs/>
                <w:color w:val="000000"/>
                <w:u w:val="single"/>
              </w:rPr>
            </w:pPr>
          </w:p>
          <w:p w14:paraId="1F022376" w14:textId="3FD489B4" w:rsidR="00FE4AB0" w:rsidRDefault="00FE4AB0" w:rsidP="00FE4AB0">
            <w:r>
              <w:t>In addition to the work of the TTAP Team Leads (Laura Prestia, Abritee Dhal, Rose Freel, Taryn Dick, and Rebecca Erwin-Cohen), TTAP would like to thank the following TTC volunteers for helping with various aspects of the program (listed alphabetically):</w:t>
            </w:r>
          </w:p>
          <w:p w14:paraId="57B3942F" w14:textId="77777777" w:rsidR="00FE4AB0" w:rsidRDefault="00FE4AB0" w:rsidP="00FE4AB0">
            <w:pPr>
              <w:rPr>
                <w:color w:val="000000"/>
              </w:rPr>
            </w:pPr>
          </w:p>
          <w:p w14:paraId="30171EE4" w14:textId="5F107579" w:rsidR="00FE4AB0" w:rsidRDefault="00FE4AB0" w:rsidP="00FE4AB0">
            <w:pPr>
              <w:pStyle w:val="ListParagraph"/>
              <w:numPr>
                <w:ilvl w:val="0"/>
                <w:numId w:val="30"/>
              </w:numPr>
              <w:contextualSpacing w:val="0"/>
              <w:rPr>
                <w:color w:val="000000"/>
              </w:rPr>
            </w:pPr>
            <w:r>
              <w:rPr>
                <w:color w:val="000000"/>
              </w:rPr>
              <w:t xml:space="preserve">Sabarni Chatterjee, </w:t>
            </w:r>
            <w:r w:rsidRPr="00182A29">
              <w:rPr>
                <w:color w:val="000000"/>
              </w:rPr>
              <w:t xml:space="preserve">Michelle Favila, </w:t>
            </w:r>
            <w:r>
              <w:rPr>
                <w:color w:val="000000"/>
              </w:rPr>
              <w:t xml:space="preserve">Jaime Greene, </w:t>
            </w:r>
            <w:r w:rsidRPr="00182A29">
              <w:rPr>
                <w:color w:val="000000"/>
              </w:rPr>
              <w:t>Suna Gulay French</w:t>
            </w:r>
            <w:r>
              <w:rPr>
                <w:color w:val="000000"/>
              </w:rPr>
              <w:t xml:space="preserve">, </w:t>
            </w:r>
            <w:r w:rsidRPr="00182A29">
              <w:rPr>
                <w:color w:val="000000"/>
              </w:rPr>
              <w:t>Nikki Guyton, Jim Knabb</w:t>
            </w:r>
            <w:r>
              <w:rPr>
                <w:color w:val="000000"/>
              </w:rPr>
              <w:t xml:space="preserve">, </w:t>
            </w:r>
            <w:r w:rsidRPr="00182A29">
              <w:rPr>
                <w:color w:val="000000"/>
              </w:rPr>
              <w:t>Martha Lubet, Pragnesh Mistry</w:t>
            </w:r>
            <w:r>
              <w:rPr>
                <w:color w:val="000000"/>
              </w:rPr>
              <w:t xml:space="preserve">, </w:t>
            </w:r>
            <w:r w:rsidRPr="00182A29">
              <w:rPr>
                <w:color w:val="000000"/>
              </w:rPr>
              <w:t>Lauren Nguyen-Antczak</w:t>
            </w:r>
            <w:r>
              <w:rPr>
                <w:color w:val="000000"/>
              </w:rPr>
              <w:t xml:space="preserve">, </w:t>
            </w:r>
            <w:r w:rsidRPr="00182A29">
              <w:rPr>
                <w:color w:val="000000"/>
              </w:rPr>
              <w:t>Ricquita Pollard, Chris Sappington</w:t>
            </w:r>
          </w:p>
          <w:p w14:paraId="15777B60" w14:textId="77777777" w:rsidR="00C22F07" w:rsidRDefault="00C22F07" w:rsidP="00C22F07">
            <w:pPr>
              <w:pStyle w:val="ListParagraph"/>
              <w:contextualSpacing w:val="0"/>
              <w:rPr>
                <w:color w:val="000000"/>
              </w:rPr>
            </w:pPr>
          </w:p>
          <w:p w14:paraId="0208CD13" w14:textId="77777777" w:rsidR="00FE4AB0" w:rsidRDefault="00FE4AB0" w:rsidP="00FE4AB0">
            <w:pPr>
              <w:pStyle w:val="ListParagraph"/>
              <w:numPr>
                <w:ilvl w:val="0"/>
                <w:numId w:val="30"/>
              </w:numPr>
              <w:contextualSpacing w:val="0"/>
              <w:rPr>
                <w:color w:val="000000"/>
              </w:rPr>
            </w:pPr>
            <w:r>
              <w:rPr>
                <w:color w:val="000000"/>
              </w:rPr>
              <w:t xml:space="preserve">Thank you also to the TT-Unit Supervisors for working with TTAP and supporting Ambassadors who “join” your Units: Sabarni Chatterjee, Lisa Finkelstein, Charlotte McGuinness, Michael Pollack, Jeff Thomas, Laurie Whitney  </w:t>
            </w:r>
          </w:p>
          <w:p w14:paraId="26B006E1" w14:textId="77777777" w:rsidR="00FE4AB0" w:rsidRDefault="00FE4AB0" w:rsidP="00FE4AB0">
            <w:pPr>
              <w:rPr>
                <w:color w:val="000000"/>
              </w:rPr>
            </w:pPr>
          </w:p>
          <w:p w14:paraId="60EF800E" w14:textId="77777777" w:rsidR="00C22F07" w:rsidRDefault="00FE4AB0" w:rsidP="00FE4AB0">
            <w:pPr>
              <w:rPr>
                <w:color w:val="000000"/>
              </w:rPr>
            </w:pPr>
            <w:r>
              <w:rPr>
                <w:color w:val="000000"/>
              </w:rPr>
              <w:t xml:space="preserve">We look forward to the next phase of TTAP and are excited for ambassadors to continue to learn about </w:t>
            </w:r>
          </w:p>
          <w:p w14:paraId="16777198" w14:textId="77777777" w:rsidR="007B11E6" w:rsidRDefault="00FE4AB0" w:rsidP="00682296">
            <w:pPr>
              <w:rPr>
                <w:color w:val="000000"/>
              </w:rPr>
            </w:pPr>
            <w:r>
              <w:rPr>
                <w:color w:val="000000"/>
              </w:rPr>
              <w:t>TT and apply this knowledge in their laboratories across the NIH</w:t>
            </w:r>
            <w:r w:rsidR="00682296">
              <w:rPr>
                <w:color w:val="000000"/>
              </w:rPr>
              <w:t>.</w:t>
            </w:r>
          </w:p>
          <w:p w14:paraId="2F06E4F0" w14:textId="2138ADFC" w:rsidR="00741DF7" w:rsidRPr="00682296" w:rsidRDefault="00741DF7" w:rsidP="00682296">
            <w:pPr>
              <w:rPr>
                <w:color w:val="000000"/>
              </w:rPr>
            </w:pPr>
          </w:p>
        </w:tc>
        <w:tc>
          <w:tcPr>
            <w:tcW w:w="720" w:type="dxa"/>
            <w:shd w:val="clear" w:color="auto" w:fill="5B9BD5" w:themeFill="accent1"/>
            <w:textDirection w:val="btLr"/>
            <w:vAlign w:val="center"/>
          </w:tcPr>
          <w:p w14:paraId="36899D16" w14:textId="5A762000" w:rsidR="007B11E6" w:rsidRPr="00C22F07" w:rsidRDefault="00C22F07" w:rsidP="00C22F07">
            <w:pPr>
              <w:pStyle w:val="Heading1"/>
              <w:framePr w:hSpace="0" w:wrap="auto" w:vAnchor="margin" w:hAnchor="text" w:yAlign="inline"/>
              <w:outlineLvl w:val="0"/>
              <w:rPr>
                <w:rFonts w:asciiTheme="minorHAnsi" w:hAnsiTheme="minorHAnsi" w:cstheme="minorHAnsi"/>
              </w:rPr>
            </w:pPr>
            <w:r w:rsidRPr="00C22F07">
              <w:rPr>
                <w:rFonts w:cstheme="minorHAnsi"/>
              </w:rPr>
              <w:lastRenderedPageBreak/>
              <w:t xml:space="preserve">Welcome </w:t>
            </w:r>
            <w:r>
              <w:rPr>
                <w:rFonts w:cstheme="minorHAnsi"/>
              </w:rPr>
              <w:t xml:space="preserve"> NCI Technology Transfer Ambassadors – Class of 2020</w:t>
            </w:r>
          </w:p>
        </w:tc>
      </w:tr>
    </w:tbl>
    <w:p w14:paraId="05A327E2" w14:textId="190D3323" w:rsidR="007B11E6" w:rsidRDefault="007B11E6" w:rsidP="00240785">
      <w:pPr>
        <w:rPr>
          <w:rFonts w:cstheme="minorHAnsi"/>
        </w:rPr>
      </w:pPr>
    </w:p>
    <w:p w14:paraId="2A6F93A4" w14:textId="77777777" w:rsidR="00933D82" w:rsidRDefault="00933D82" w:rsidP="00240785">
      <w:pPr>
        <w:rPr>
          <w:rFonts w:cstheme="minorHAnsi"/>
        </w:rPr>
      </w:pPr>
    </w:p>
    <w:tbl>
      <w:tblPr>
        <w:tblStyle w:val="TableGrid"/>
        <w:tblpPr w:leftFromText="180" w:rightFromText="180" w:vertAnchor="text" w:horzAnchor="margin" w:tblpY="-55"/>
        <w:tblW w:w="100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504"/>
        <w:gridCol w:w="9576"/>
      </w:tblGrid>
      <w:tr w:rsidR="00AA2701" w:rsidRPr="00443AAF" w14:paraId="0992D426" w14:textId="77777777" w:rsidTr="00724E19">
        <w:trPr>
          <w:cantSplit/>
          <w:trHeight w:val="1134"/>
        </w:trPr>
        <w:tc>
          <w:tcPr>
            <w:tcW w:w="504" w:type="dxa"/>
            <w:shd w:val="clear" w:color="auto" w:fill="5B9BD5" w:themeFill="accent1"/>
            <w:tcMar>
              <w:left w:w="0" w:type="dxa"/>
              <w:right w:w="0" w:type="dxa"/>
            </w:tcMar>
            <w:textDirection w:val="btLr"/>
          </w:tcPr>
          <w:p w14:paraId="530F506A" w14:textId="35D43EB6" w:rsidR="00AA2701" w:rsidRPr="00443AAF" w:rsidRDefault="00EB4D9F" w:rsidP="00724E19">
            <w:pPr>
              <w:pStyle w:val="Heading1"/>
              <w:framePr w:hSpace="0" w:wrap="auto" w:vAnchor="margin" w:hAnchor="text" w:yAlign="inline"/>
              <w:outlineLvl w:val="0"/>
              <w:rPr>
                <w:rFonts w:asciiTheme="minorHAnsi" w:hAnsiTheme="minorHAnsi" w:cstheme="minorHAnsi"/>
              </w:rPr>
            </w:pPr>
            <w:r>
              <w:rPr>
                <w:rFonts w:asciiTheme="minorHAnsi" w:hAnsiTheme="minorHAnsi" w:cstheme="minorHAnsi"/>
                <w:bCs/>
              </w:rPr>
              <w:t>Biomedical Business Information Sources</w:t>
            </w:r>
          </w:p>
        </w:tc>
        <w:tc>
          <w:tcPr>
            <w:tcW w:w="9576" w:type="dxa"/>
          </w:tcPr>
          <w:p w14:paraId="68B5337E" w14:textId="5541D528" w:rsidR="000E175D" w:rsidRPr="00BB059D" w:rsidRDefault="000E175D" w:rsidP="00BB059D">
            <w:pPr>
              <w:pStyle w:val="Heading2"/>
              <w:ind w:right="114"/>
              <w:outlineLvl w:val="1"/>
              <w:rPr>
                <w:rFonts w:cstheme="minorHAnsi"/>
                <w:b/>
                <w:bCs/>
              </w:rPr>
            </w:pPr>
            <w:r>
              <w:rPr>
                <w:rFonts w:cstheme="minorHAnsi"/>
                <w:b/>
                <w:bCs/>
              </w:rPr>
              <w:t>Biomedical Business Information Sources @</w:t>
            </w:r>
            <w:r w:rsidR="006F0200">
              <w:rPr>
                <w:rFonts w:cstheme="minorHAnsi"/>
                <w:b/>
                <w:bCs/>
              </w:rPr>
              <w:t xml:space="preserve">Your </w:t>
            </w:r>
            <w:r>
              <w:rPr>
                <w:rFonts w:cstheme="minorHAnsi"/>
                <w:b/>
                <w:bCs/>
              </w:rPr>
              <w:t>NIH Library</w:t>
            </w:r>
            <w:r w:rsidR="006F0200">
              <w:rPr>
                <w:rFonts w:cstheme="minorHAnsi"/>
                <w:b/>
                <w:bCs/>
              </w:rPr>
              <w:t>!</w:t>
            </w:r>
          </w:p>
          <w:p w14:paraId="72ADE93F" w14:textId="0F010FA5" w:rsidR="00EB4D9F" w:rsidRPr="00682296" w:rsidRDefault="000E175D" w:rsidP="00682296">
            <w:pPr>
              <w:pStyle w:val="Subtitle"/>
              <w:framePr w:hSpace="0" w:wrap="auto" w:vAnchor="margin" w:hAnchor="text" w:yAlign="inline"/>
              <w:spacing w:after="120"/>
              <w:ind w:right="115"/>
              <w:rPr>
                <w:rFonts w:asciiTheme="minorHAnsi" w:hAnsiTheme="minorHAnsi" w:cstheme="minorHAnsi"/>
                <w:iCs/>
              </w:rPr>
            </w:pPr>
            <w:r>
              <w:rPr>
                <w:rFonts w:asciiTheme="minorHAnsi" w:hAnsiTheme="minorHAnsi" w:cstheme="minorHAnsi"/>
                <w:iCs/>
              </w:rPr>
              <w:t>Steven Ferguson</w:t>
            </w:r>
            <w:r w:rsidR="00AA2701" w:rsidRPr="00AA2701">
              <w:rPr>
                <w:rFonts w:asciiTheme="minorHAnsi" w:hAnsiTheme="minorHAnsi" w:cstheme="minorHAnsi"/>
                <w:iCs/>
              </w:rPr>
              <w:t>, OTT</w:t>
            </w:r>
          </w:p>
          <w:p w14:paraId="0C0D136F" w14:textId="5A5EFE57" w:rsidR="00EB4D9F" w:rsidRDefault="00EB4D9F" w:rsidP="00BB059D"/>
          <w:p w14:paraId="1FF9AC65" w14:textId="07043EFA" w:rsidR="00BB059D" w:rsidRDefault="006F0200" w:rsidP="00BB059D">
            <w:r>
              <w:t>On March 2</w:t>
            </w:r>
            <w:r w:rsidR="00BB059D" w:rsidRPr="00BB059D">
              <w:rPr>
                <w:vertAlign w:val="superscript"/>
              </w:rPr>
              <w:t>nd</w:t>
            </w:r>
            <w:r w:rsidR="00BB059D">
              <w:t xml:space="preserve"> </w:t>
            </w:r>
            <w:r w:rsidR="0027079B">
              <w:t xml:space="preserve"> an </w:t>
            </w:r>
            <w:r>
              <w:t xml:space="preserve">in-person and on-line training course </w:t>
            </w:r>
            <w:r w:rsidR="00741DF7">
              <w:t xml:space="preserve">about </w:t>
            </w:r>
            <w:r>
              <w:t xml:space="preserve">using various information resources for technology transfer </w:t>
            </w:r>
            <w:r w:rsidR="00BB059D">
              <w:t xml:space="preserve">held at the </w:t>
            </w:r>
            <w:r>
              <w:t>NIH Library Training Room.  Organized by the TDTC Chairs and the NIH Libr</w:t>
            </w:r>
            <w:r w:rsidR="00BB059D">
              <w:t>ary, the session was attended by more than 90 people.</w:t>
            </w:r>
            <w:r>
              <w:t xml:space="preserve">  </w:t>
            </w:r>
            <w:r w:rsidR="00BB059D">
              <w:t xml:space="preserve">Attendees received information from Josh Duberman, NIH Informationist / Research Librarian about two new, exciting new information resources relevant for technology transfer that are now available to NIH staff: </w:t>
            </w:r>
          </w:p>
          <w:p w14:paraId="43003C3A" w14:textId="45233E52" w:rsidR="00BB059D" w:rsidRDefault="00682296" w:rsidP="00BB059D">
            <w:r>
              <w:rPr>
                <w:noProof/>
              </w:rPr>
              <w:drawing>
                <wp:anchor distT="0" distB="0" distL="114300" distR="114300" simplePos="0" relativeHeight="251794432" behindDoc="0" locked="0" layoutInCell="1" allowOverlap="1" wp14:anchorId="252242BD" wp14:editId="538CEB97">
                  <wp:simplePos x="0" y="0"/>
                  <wp:positionH relativeFrom="column">
                    <wp:posOffset>65405</wp:posOffset>
                  </wp:positionH>
                  <wp:positionV relativeFrom="paragraph">
                    <wp:posOffset>158750</wp:posOffset>
                  </wp:positionV>
                  <wp:extent cx="3032760" cy="2445385"/>
                  <wp:effectExtent l="0" t="0" r="0" b="0"/>
                  <wp:wrapSquare wrapText="bothSides"/>
                  <wp:docPr id="292" name="Picture 292" descr="Josh Duberman, NIH Library and Sue Ano, TDTC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Duberman &amp; Ano.jpg"/>
                          <pic:cNvPicPr/>
                        </pic:nvPicPr>
                        <pic:blipFill>
                          <a:blip r:embed="rId38" cstate="screen">
                            <a:extLst>
                              <a:ext uri="{28A0092B-C50C-407E-A947-70E740481C1C}">
                                <a14:useLocalDpi xmlns:a14="http://schemas.microsoft.com/office/drawing/2010/main"/>
                              </a:ext>
                            </a:extLst>
                          </a:blip>
                          <a:stretch>
                            <a:fillRect/>
                          </a:stretch>
                        </pic:blipFill>
                        <pic:spPr>
                          <a:xfrm>
                            <a:off x="0" y="0"/>
                            <a:ext cx="3032760" cy="2445385"/>
                          </a:xfrm>
                          <a:prstGeom prst="rect">
                            <a:avLst/>
                          </a:prstGeom>
                        </pic:spPr>
                      </pic:pic>
                    </a:graphicData>
                  </a:graphic>
                  <wp14:sizeRelH relativeFrom="margin">
                    <wp14:pctWidth>0</wp14:pctWidth>
                  </wp14:sizeRelH>
                  <wp14:sizeRelV relativeFrom="margin">
                    <wp14:pctHeight>0</wp14:pctHeight>
                  </wp14:sizeRelV>
                </wp:anchor>
              </w:drawing>
            </w:r>
            <w:r w:rsidR="00BB059D">
              <w:t xml:space="preserve"> </w:t>
            </w:r>
          </w:p>
          <w:p w14:paraId="0D253B70" w14:textId="2D9D456F" w:rsidR="00BB059D" w:rsidRDefault="00BB059D" w:rsidP="00682296">
            <w:pPr>
              <w:pStyle w:val="ListParagraph"/>
            </w:pPr>
            <w:r w:rsidRPr="00BB059D">
              <w:rPr>
                <w:b/>
                <w:bCs/>
              </w:rPr>
              <w:t>PitchBook</w:t>
            </w:r>
            <w:r>
              <w:t xml:space="preserve"> (</w:t>
            </w:r>
            <w:r w:rsidRPr="00BB059D">
              <w:t>private &amp; public company business intelligence &amp; market research</w:t>
            </w:r>
            <w:r>
              <w:t>)</w:t>
            </w:r>
          </w:p>
          <w:p w14:paraId="057D91F6" w14:textId="77777777" w:rsidR="00682296" w:rsidRDefault="00682296" w:rsidP="00682296">
            <w:pPr>
              <w:pStyle w:val="ListParagraph"/>
            </w:pPr>
          </w:p>
          <w:p w14:paraId="5A931ACC" w14:textId="2C151A71" w:rsidR="00BB059D" w:rsidRDefault="00BB059D" w:rsidP="00682296">
            <w:pPr>
              <w:pStyle w:val="ListParagraph"/>
            </w:pPr>
            <w:r w:rsidRPr="00BB059D">
              <w:rPr>
                <w:b/>
                <w:bCs/>
              </w:rPr>
              <w:t>GlobalData</w:t>
            </w:r>
            <w:r>
              <w:t xml:space="preserve"> (</w:t>
            </w:r>
            <w:r w:rsidRPr="00BB059D">
              <w:t>pharmaceutical &amp; medical devices market intelligence &amp; analysis</w:t>
            </w:r>
            <w:r>
              <w:t>)</w:t>
            </w:r>
          </w:p>
          <w:p w14:paraId="50244293" w14:textId="28B775D0" w:rsidR="00BB059D" w:rsidRDefault="00BB059D" w:rsidP="00BB059D">
            <w:pPr>
              <w:pStyle w:val="ListParagraph"/>
            </w:pPr>
          </w:p>
          <w:p w14:paraId="1BA7A5DD" w14:textId="48F0AA27" w:rsidR="00AA2701" w:rsidRPr="00682296" w:rsidRDefault="00EB4D9F" w:rsidP="00682296">
            <w:r>
              <w:t xml:space="preserve">Miss this session </w:t>
            </w:r>
            <w:r w:rsidR="0027079B">
              <w:t>and w</w:t>
            </w:r>
            <w:r>
              <w:t xml:space="preserve">ant to know when the next </w:t>
            </w:r>
            <w:r w:rsidR="0027079B">
              <w:t xml:space="preserve">NIH Library </w:t>
            </w:r>
            <w:r>
              <w:t xml:space="preserve">program will be held?  See: </w:t>
            </w:r>
            <w:hyperlink r:id="rId39" w:history="1">
              <w:r w:rsidRPr="001E37C4">
                <w:rPr>
                  <w:rStyle w:val="Hyperlink"/>
                </w:rPr>
                <w:t>https://www.nihlibrary.nih.gov/library-email-news-signup</w:t>
              </w:r>
            </w:hyperlink>
            <w:r>
              <w:t xml:space="preserve"> </w:t>
            </w:r>
          </w:p>
        </w:tc>
      </w:tr>
      <w:tr w:rsidR="00682296" w:rsidRPr="00443AAF" w14:paraId="0D0901F8" w14:textId="77777777" w:rsidTr="00AE6983">
        <w:trPr>
          <w:cantSplit/>
          <w:trHeight w:val="302"/>
        </w:trPr>
        <w:tc>
          <w:tcPr>
            <w:tcW w:w="504" w:type="dxa"/>
            <w:shd w:val="clear" w:color="auto" w:fill="5B9BD5" w:themeFill="accent1"/>
            <w:tcMar>
              <w:left w:w="0" w:type="dxa"/>
              <w:right w:w="0" w:type="dxa"/>
            </w:tcMar>
            <w:textDirection w:val="btLr"/>
          </w:tcPr>
          <w:p w14:paraId="4DBC526E" w14:textId="77777777" w:rsidR="00682296" w:rsidRDefault="00682296" w:rsidP="00724E19">
            <w:pPr>
              <w:pStyle w:val="Heading1"/>
              <w:framePr w:hSpace="0" w:wrap="auto" w:vAnchor="margin" w:hAnchor="text" w:yAlign="inline"/>
              <w:outlineLvl w:val="0"/>
              <w:rPr>
                <w:rFonts w:asciiTheme="minorHAnsi" w:hAnsiTheme="minorHAnsi" w:cstheme="minorHAnsi"/>
                <w:bCs/>
              </w:rPr>
            </w:pPr>
          </w:p>
        </w:tc>
        <w:tc>
          <w:tcPr>
            <w:tcW w:w="9576" w:type="dxa"/>
          </w:tcPr>
          <w:p w14:paraId="7F01E0C1" w14:textId="77777777" w:rsidR="00AE6983" w:rsidRDefault="008572A7" w:rsidP="008572A7">
            <w:pPr>
              <w:rPr>
                <w:b/>
                <w:bCs/>
                <w:sz w:val="16"/>
                <w:szCs w:val="16"/>
              </w:rPr>
            </w:pPr>
            <w:r>
              <w:rPr>
                <w:b/>
                <w:bCs/>
                <w:sz w:val="16"/>
                <w:szCs w:val="16"/>
              </w:rPr>
              <w:t xml:space="preserve">                </w:t>
            </w:r>
          </w:p>
          <w:p w14:paraId="6560454D" w14:textId="3A07F54C" w:rsidR="008572A7" w:rsidRPr="00087DAF" w:rsidRDefault="00AE6983" w:rsidP="008572A7">
            <w:pPr>
              <w:rPr>
                <w:b/>
                <w:bCs/>
                <w:sz w:val="16"/>
                <w:szCs w:val="16"/>
              </w:rPr>
            </w:pPr>
            <w:r>
              <w:rPr>
                <w:b/>
                <w:bCs/>
                <w:sz w:val="16"/>
                <w:szCs w:val="16"/>
              </w:rPr>
              <w:t xml:space="preserve">                   </w:t>
            </w:r>
            <w:r w:rsidR="008572A7">
              <w:rPr>
                <w:b/>
                <w:bCs/>
                <w:sz w:val="16"/>
                <w:szCs w:val="16"/>
              </w:rPr>
              <w:t xml:space="preserve"> </w:t>
            </w:r>
            <w:r w:rsidR="008572A7" w:rsidRPr="00087DAF">
              <w:rPr>
                <w:b/>
                <w:bCs/>
                <w:sz w:val="16"/>
                <w:szCs w:val="16"/>
              </w:rPr>
              <w:t>Josh Duberman, NIH Library &amp; Sue Ano, TDTC Chair</w:t>
            </w:r>
          </w:p>
          <w:p w14:paraId="4CB313BC" w14:textId="77777777" w:rsidR="00682296" w:rsidRDefault="00682296" w:rsidP="00BB059D">
            <w:pPr>
              <w:pStyle w:val="Heading2"/>
              <w:ind w:right="114"/>
              <w:outlineLvl w:val="1"/>
              <w:rPr>
                <w:rFonts w:cstheme="minorHAnsi"/>
                <w:b/>
                <w:bCs/>
              </w:rPr>
            </w:pPr>
          </w:p>
        </w:tc>
      </w:tr>
    </w:tbl>
    <w:tbl>
      <w:tblPr>
        <w:tblStyle w:val="TableGrid"/>
        <w:tblpPr w:leftFromText="180" w:rightFromText="180" w:vertAnchor="text" w:horzAnchor="margin" w:tblpY="140"/>
        <w:tblW w:w="1021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9579"/>
        <w:gridCol w:w="632"/>
      </w:tblGrid>
      <w:tr w:rsidR="00933D82" w:rsidRPr="00443AAF" w14:paraId="388C2F38" w14:textId="77777777" w:rsidTr="00933D82">
        <w:trPr>
          <w:cantSplit/>
          <w:trHeight w:val="1160"/>
        </w:trPr>
        <w:tc>
          <w:tcPr>
            <w:tcW w:w="9579" w:type="dxa"/>
          </w:tcPr>
          <w:p w14:paraId="6D2F4B56" w14:textId="51D0AF49" w:rsidR="00933D82" w:rsidRPr="00F21F0A" w:rsidRDefault="00933D82" w:rsidP="00BD7461">
            <w:pPr>
              <w:pStyle w:val="Heading2"/>
              <w:outlineLvl w:val="1"/>
              <w:rPr>
                <w:rFonts w:cstheme="minorHAnsi"/>
                <w:b/>
                <w:sz w:val="36"/>
                <w:szCs w:val="36"/>
              </w:rPr>
            </w:pPr>
            <w:r w:rsidRPr="00933D82">
              <w:rPr>
                <w:rFonts w:cstheme="minorHAnsi"/>
                <w:b/>
                <w:sz w:val="36"/>
                <w:szCs w:val="36"/>
              </w:rPr>
              <w:lastRenderedPageBreak/>
              <w:t>What’s the Deal with Material Shipments</w:t>
            </w:r>
            <w:r>
              <w:rPr>
                <w:rFonts w:cstheme="minorHAnsi"/>
                <w:b/>
                <w:sz w:val="36"/>
                <w:szCs w:val="36"/>
              </w:rPr>
              <w:t xml:space="preserve"> To Licensees</w:t>
            </w:r>
            <w:r w:rsidRPr="00933D82">
              <w:rPr>
                <w:rFonts w:cstheme="minorHAnsi"/>
                <w:b/>
                <w:sz w:val="36"/>
                <w:szCs w:val="36"/>
              </w:rPr>
              <w:t>?</w:t>
            </w:r>
          </w:p>
          <w:p w14:paraId="4A6A0153" w14:textId="1F027E36" w:rsidR="00933D82" w:rsidRPr="007B11E6" w:rsidRDefault="00933D82" w:rsidP="00BD7461">
            <w:pPr>
              <w:pStyle w:val="Subtitle"/>
              <w:framePr w:hSpace="0" w:wrap="auto" w:vAnchor="margin" w:hAnchor="text" w:yAlign="inline"/>
              <w:rPr>
                <w:rFonts w:cstheme="minorHAnsi"/>
              </w:rPr>
            </w:pPr>
            <w:r>
              <w:rPr>
                <w:rFonts w:asciiTheme="minorHAnsi" w:hAnsiTheme="minorHAnsi" w:cstheme="minorHAnsi"/>
              </w:rPr>
              <w:t>Karen Rogers, OTT</w:t>
            </w:r>
          </w:p>
          <w:p w14:paraId="5FC1BA52" w14:textId="77777777" w:rsidR="00933D82" w:rsidRDefault="00933D82" w:rsidP="00BD7461"/>
          <w:p w14:paraId="5621243D" w14:textId="77777777" w:rsidR="00933D82" w:rsidRDefault="00933D82" w:rsidP="00933D82">
            <w:pPr>
              <w:rPr>
                <w:rFonts w:cs="Calibri"/>
                <w:sz w:val="24"/>
              </w:rPr>
            </w:pPr>
            <w:r>
              <w:rPr>
                <w:rFonts w:cs="Calibri"/>
                <w:sz w:val="24"/>
              </w:rPr>
              <w:t>Executed licenses are forwarded to the OTT Royalties Administration Unit and the Royalty Coordinators administer the agreements.  This includes authorizing the shipment of material upon receipt of the initial royalties as outlined in the license agreement.  These will generally include the License issue royalty, Pro-rated MAR, Execution Royalty and/or</w:t>
            </w:r>
            <w:r w:rsidRPr="00964E33">
              <w:rPr>
                <w:rFonts w:cs="Calibri"/>
                <w:sz w:val="24"/>
              </w:rPr>
              <w:t xml:space="preserve"> amendment royalty</w:t>
            </w:r>
            <w:r>
              <w:rPr>
                <w:rFonts w:cs="Calibri"/>
                <w:sz w:val="24"/>
              </w:rPr>
              <w:t xml:space="preserve">.  </w:t>
            </w:r>
          </w:p>
          <w:p w14:paraId="37BFD0C7" w14:textId="77777777" w:rsidR="00933D82" w:rsidRDefault="00933D82" w:rsidP="00933D82">
            <w:pPr>
              <w:rPr>
                <w:rFonts w:cs="Calibri"/>
                <w:sz w:val="24"/>
              </w:rPr>
            </w:pPr>
            <w:r>
              <w:rPr>
                <w:rFonts w:cs="Calibri"/>
                <w:sz w:val="24"/>
              </w:rPr>
              <w:t xml:space="preserve">Some eager licensees will contact the Licensing and Patenting Managers and inquire about the material shipment.  You are always welcome to forward the inquiry to the Royalty Coordinators or contact them directly for information.  However, would you like to be able to look up the status in NIH TechTracS yourself? </w:t>
            </w:r>
          </w:p>
          <w:p w14:paraId="50781C44" w14:textId="78282928" w:rsidR="00933D82" w:rsidRDefault="00933D82" w:rsidP="00933D82">
            <w:pPr>
              <w:rPr>
                <w:rFonts w:cs="Calibri"/>
                <w:sz w:val="24"/>
              </w:rPr>
            </w:pPr>
            <w:r>
              <w:rPr>
                <w:rFonts w:cs="Calibri"/>
                <w:sz w:val="24"/>
              </w:rPr>
              <w:t xml:space="preserve"> </w:t>
            </w:r>
          </w:p>
          <w:p w14:paraId="7D9142FB" w14:textId="0EBF69F7" w:rsidR="00933D82" w:rsidRDefault="00933D82" w:rsidP="00933D82">
            <w:pPr>
              <w:rPr>
                <w:rFonts w:cs="Calibri"/>
                <w:sz w:val="24"/>
              </w:rPr>
            </w:pPr>
            <w:r>
              <w:rPr>
                <w:rFonts w:cs="Calibri"/>
                <w:sz w:val="24"/>
              </w:rPr>
              <w:t xml:space="preserve">Below is a screen shot of a license record in the Royalty Module of NIH TechTracS, where you can check the “Materials Requested” and “Materials Sent” fields for the status.  </w:t>
            </w:r>
          </w:p>
          <w:p w14:paraId="035563EC" w14:textId="1ECD553E" w:rsidR="00933D82" w:rsidRPr="006C293E" w:rsidRDefault="006C293E" w:rsidP="006C293E">
            <w:pPr>
              <w:rPr>
                <w:rFonts w:cs="Calibri"/>
                <w:sz w:val="24"/>
              </w:rPr>
            </w:pPr>
            <w:r>
              <w:rPr>
                <w:noProof/>
              </w:rPr>
              <mc:AlternateContent>
                <mc:Choice Requires="wps">
                  <w:drawing>
                    <wp:anchor distT="0" distB="0" distL="114300" distR="114300" simplePos="0" relativeHeight="251799552" behindDoc="0" locked="0" layoutInCell="1" allowOverlap="1" wp14:anchorId="754F29DC" wp14:editId="5F266291">
                      <wp:simplePos x="0" y="0"/>
                      <wp:positionH relativeFrom="column">
                        <wp:posOffset>3521710</wp:posOffset>
                      </wp:positionH>
                      <wp:positionV relativeFrom="paragraph">
                        <wp:posOffset>4124960</wp:posOffset>
                      </wp:positionV>
                      <wp:extent cx="533400" cy="679450"/>
                      <wp:effectExtent l="19050" t="19050" r="38100" b="25400"/>
                      <wp:wrapNone/>
                      <wp:docPr id="296" name="Arrow: Up 296"/>
                      <wp:cNvGraphicFramePr/>
                      <a:graphic xmlns:a="http://schemas.openxmlformats.org/drawingml/2006/main">
                        <a:graphicData uri="http://schemas.microsoft.com/office/word/2010/wordprocessingShape">
                          <wps:wsp>
                            <wps:cNvSpPr/>
                            <wps:spPr>
                              <a:xfrm>
                                <a:off x="0" y="0"/>
                                <a:ext cx="533400" cy="679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7BB0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96" o:spid="_x0000_s1026" type="#_x0000_t68" style="position:absolute;margin-left:277.3pt;margin-top:324.8pt;width:42pt;height:53.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" adj="8479" fillcolor="#5b9bd5 [3204]" strokecolor="#1f4d78 [1604]" strokeweight="1pt"/>
                  </w:pict>
                </mc:Fallback>
              </mc:AlternateContent>
            </w:r>
            <w:r>
              <w:rPr>
                <w:noProof/>
              </w:rPr>
              <mc:AlternateContent>
                <mc:Choice Requires="wps">
                  <w:drawing>
                    <wp:anchor distT="0" distB="0" distL="114300" distR="114300" simplePos="0" relativeHeight="251797504" behindDoc="0" locked="0" layoutInCell="1" allowOverlap="1" wp14:anchorId="408622B7" wp14:editId="63A9BE51">
                      <wp:simplePos x="0" y="0"/>
                      <wp:positionH relativeFrom="column">
                        <wp:posOffset>2522855</wp:posOffset>
                      </wp:positionH>
                      <wp:positionV relativeFrom="page">
                        <wp:posOffset>6957060</wp:posOffset>
                      </wp:positionV>
                      <wp:extent cx="533400" cy="679450"/>
                      <wp:effectExtent l="19050" t="19050" r="38100" b="25400"/>
                      <wp:wrapNone/>
                      <wp:docPr id="3" name="Arrow: Up 3"/>
                      <wp:cNvGraphicFramePr/>
                      <a:graphic xmlns:a="http://schemas.openxmlformats.org/drawingml/2006/main">
                        <a:graphicData uri="http://schemas.microsoft.com/office/word/2010/wordprocessingShape">
                          <wps:wsp>
                            <wps:cNvSpPr/>
                            <wps:spPr>
                              <a:xfrm>
                                <a:off x="0" y="0"/>
                                <a:ext cx="533400" cy="6794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9462D" id="Arrow: Up 3" o:spid="_x0000_s1026" type="#_x0000_t68" style="position:absolute;margin-left:198.65pt;margin-top:547.8pt;width:42pt;height:53.5pt;z-index:251797504;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" adj="8479" fillcolor="#5b9bd5 [3204]" strokecolor="#1f4d78 [1604]" strokeweight="1pt">
                      <w10:wrap anchory="page"/>
                    </v:shape>
                  </w:pict>
                </mc:Fallback>
              </mc:AlternateContent>
            </w:r>
            <w:r w:rsidRPr="00286900">
              <w:rPr>
                <w:noProof/>
              </w:rPr>
              <w:drawing>
                <wp:anchor distT="0" distB="0" distL="114300" distR="114300" simplePos="0" relativeHeight="251795456" behindDoc="0" locked="0" layoutInCell="1" allowOverlap="1" wp14:anchorId="171044CB" wp14:editId="546F9B4C">
                  <wp:simplePos x="0" y="0"/>
                  <wp:positionH relativeFrom="column">
                    <wp:posOffset>-86995</wp:posOffset>
                  </wp:positionH>
                  <wp:positionV relativeFrom="page">
                    <wp:posOffset>3143250</wp:posOffset>
                  </wp:positionV>
                  <wp:extent cx="5774690" cy="4998720"/>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774690" cy="4998720"/>
                          </a:xfrm>
                          <a:prstGeom prst="rect">
                            <a:avLst/>
                          </a:prstGeom>
                          <a:noFill/>
                          <a:ln>
                            <a:noFill/>
                          </a:ln>
                        </pic:spPr>
                      </pic:pic>
                    </a:graphicData>
                  </a:graphic>
                  <wp14:sizeRelV relativeFrom="margin">
                    <wp14:pctHeight>0</wp14:pctHeight>
                  </wp14:sizeRelV>
                </wp:anchor>
              </w:drawing>
            </w:r>
          </w:p>
          <w:p w14:paraId="218F242D" w14:textId="77777777" w:rsidR="00933D82" w:rsidRPr="00443AAF" w:rsidRDefault="00933D82" w:rsidP="00BD7461">
            <w:pPr>
              <w:spacing w:before="120"/>
              <w:rPr>
                <w:rFonts w:cstheme="minorHAnsi"/>
                <w:noProof/>
              </w:rPr>
            </w:pPr>
          </w:p>
        </w:tc>
        <w:tc>
          <w:tcPr>
            <w:tcW w:w="632" w:type="dxa"/>
            <w:shd w:val="clear" w:color="auto" w:fill="5B9BD5" w:themeFill="accent1"/>
            <w:textDirection w:val="btLr"/>
            <w:vAlign w:val="center"/>
          </w:tcPr>
          <w:p w14:paraId="79D55B46" w14:textId="163274E1" w:rsidR="00933D82" w:rsidRDefault="002B557C" w:rsidP="002B557C">
            <w:pPr>
              <w:pStyle w:val="Heading1"/>
              <w:framePr w:hSpace="0" w:wrap="auto" w:vAnchor="margin" w:hAnchor="text" w:yAlign="inline"/>
              <w:outlineLvl w:val="0"/>
              <w:rPr>
                <w:rFonts w:cstheme="minorHAnsi"/>
              </w:rPr>
            </w:pPr>
            <w:r>
              <w:rPr>
                <w:rFonts w:cstheme="minorHAnsi"/>
              </w:rPr>
              <w:t xml:space="preserve"> The  Deal  With  Material </w:t>
            </w:r>
            <w:r w:rsidR="0095532D">
              <w:rPr>
                <w:rFonts w:cstheme="minorHAnsi"/>
              </w:rPr>
              <w:t xml:space="preserve"> </w:t>
            </w:r>
            <w:r>
              <w:rPr>
                <w:rFonts w:cstheme="minorHAnsi"/>
              </w:rPr>
              <w:t xml:space="preserve">Shipments </w:t>
            </w:r>
            <w:r w:rsidR="0095532D">
              <w:rPr>
                <w:rFonts w:cstheme="minorHAnsi"/>
              </w:rPr>
              <w:t xml:space="preserve"> </w:t>
            </w:r>
            <w:r>
              <w:rPr>
                <w:rFonts w:cstheme="minorHAnsi"/>
              </w:rPr>
              <w:t>To</w:t>
            </w:r>
            <w:r w:rsidR="0095532D">
              <w:rPr>
                <w:rFonts w:cstheme="minorHAnsi"/>
              </w:rPr>
              <w:t xml:space="preserve"> </w:t>
            </w:r>
            <w:r>
              <w:rPr>
                <w:rFonts w:cstheme="minorHAnsi"/>
              </w:rPr>
              <w:t xml:space="preserve"> Licensees</w:t>
            </w:r>
          </w:p>
          <w:p w14:paraId="0B6B9051" w14:textId="5CBA8035" w:rsidR="00933D82" w:rsidRPr="00933D82" w:rsidRDefault="00933D82" w:rsidP="00933D82"/>
        </w:tc>
      </w:tr>
    </w:tbl>
    <w:p w14:paraId="60CCB4B7" w14:textId="6014FD22" w:rsidR="00EF7230" w:rsidRPr="006C293E" w:rsidRDefault="00EF7230" w:rsidP="006C293E"/>
    <w:tbl>
      <w:tblPr>
        <w:tblStyle w:val="TableGrid"/>
        <w:tblpPr w:leftFromText="180" w:rightFromText="180" w:vertAnchor="text" w:horzAnchor="margin" w:tblpY="-55"/>
        <w:tblW w:w="100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144" w:type="dxa"/>
          <w:right w:w="0" w:type="dxa"/>
        </w:tblCellMar>
        <w:tblLook w:val="04A0" w:firstRow="1" w:lastRow="0" w:firstColumn="1" w:lastColumn="0" w:noHBand="0" w:noVBand="1"/>
      </w:tblPr>
      <w:tblGrid>
        <w:gridCol w:w="504"/>
        <w:gridCol w:w="9590"/>
      </w:tblGrid>
      <w:tr w:rsidR="004A4DD7" w:rsidRPr="00443AAF" w14:paraId="1C9239A9" w14:textId="77777777" w:rsidTr="00A204AA">
        <w:trPr>
          <w:cantSplit/>
          <w:trHeight w:val="1134"/>
        </w:trPr>
        <w:tc>
          <w:tcPr>
            <w:tcW w:w="504" w:type="dxa"/>
            <w:shd w:val="clear" w:color="auto" w:fill="5B9BD5" w:themeFill="accent1"/>
            <w:tcMar>
              <w:left w:w="0" w:type="dxa"/>
              <w:right w:w="0" w:type="dxa"/>
            </w:tcMar>
            <w:textDirection w:val="btLr"/>
            <w:vAlign w:val="center"/>
          </w:tcPr>
          <w:p w14:paraId="6E7A3316" w14:textId="64048F43" w:rsidR="004A4DD7" w:rsidRPr="00443AAF" w:rsidRDefault="00AA3FDF" w:rsidP="0029024C">
            <w:pPr>
              <w:pStyle w:val="Heading1"/>
              <w:framePr w:hSpace="0" w:wrap="auto" w:vAnchor="margin" w:hAnchor="text" w:yAlign="inline"/>
              <w:outlineLvl w:val="0"/>
              <w:rPr>
                <w:rFonts w:asciiTheme="minorHAnsi" w:hAnsiTheme="minorHAnsi" w:cstheme="minorHAnsi"/>
              </w:rPr>
            </w:pPr>
            <w:bookmarkStart w:id="6" w:name="_Toc32497436"/>
            <w:r w:rsidRPr="00443AAF">
              <w:rPr>
                <w:rFonts w:asciiTheme="minorHAnsi" w:hAnsiTheme="minorHAnsi" w:cstheme="minorHAnsi"/>
              </w:rPr>
              <w:lastRenderedPageBreak/>
              <w:t>TT Community Members</w:t>
            </w:r>
            <w:bookmarkEnd w:id="6"/>
          </w:p>
        </w:tc>
        <w:tc>
          <w:tcPr>
            <w:tcW w:w="9590" w:type="dxa"/>
          </w:tcPr>
          <w:p w14:paraId="309C5138" w14:textId="77777777" w:rsidR="004E77DC" w:rsidRPr="00B51036" w:rsidRDefault="004A4DD7" w:rsidP="006D0108">
            <w:pPr>
              <w:pStyle w:val="Heading2"/>
              <w:outlineLvl w:val="1"/>
              <w:rPr>
                <w:b/>
                <w:sz w:val="36"/>
                <w:szCs w:val="36"/>
              </w:rPr>
            </w:pPr>
            <w:r w:rsidRPr="00B51036">
              <w:rPr>
                <w:b/>
                <w:sz w:val="36"/>
                <w:szCs w:val="36"/>
              </w:rPr>
              <w:t>Comings and Goings</w:t>
            </w:r>
          </w:p>
          <w:p w14:paraId="339541C7" w14:textId="00094C0F" w:rsidR="0032141E" w:rsidRPr="0032141E" w:rsidRDefault="004A4DD7" w:rsidP="0032141E">
            <w:pPr>
              <w:pStyle w:val="Heading2"/>
              <w:outlineLvl w:val="1"/>
              <w:rPr>
                <w:b/>
              </w:rPr>
            </w:pPr>
            <w:r w:rsidRPr="003214DB">
              <w:rPr>
                <w:b/>
              </w:rPr>
              <w:t xml:space="preserve"> </w:t>
            </w:r>
          </w:p>
          <w:tbl>
            <w:tblPr>
              <w:tblStyle w:val="TableGridLight"/>
              <w:tblW w:w="9072" w:type="dxa"/>
              <w:tblLayout w:type="fixed"/>
              <w:tblLook w:val="04A0" w:firstRow="1" w:lastRow="0" w:firstColumn="1" w:lastColumn="0" w:noHBand="0" w:noVBand="1"/>
            </w:tblPr>
            <w:tblGrid>
              <w:gridCol w:w="3168"/>
              <w:gridCol w:w="5904"/>
            </w:tblGrid>
            <w:tr w:rsidR="007A22EB" w:rsidRPr="00443AAF" w14:paraId="5865673D" w14:textId="77777777" w:rsidTr="00633912">
              <w:trPr>
                <w:trHeight w:val="4851"/>
              </w:trPr>
              <w:tc>
                <w:tcPr>
                  <w:tcW w:w="3168" w:type="dxa"/>
                  <w:tcBorders>
                    <w:top w:val="nil"/>
                    <w:left w:val="nil"/>
                    <w:bottom w:val="nil"/>
                    <w:right w:val="nil"/>
                  </w:tcBorders>
                  <w:vAlign w:val="center"/>
                </w:tcPr>
                <w:p w14:paraId="43963EF8" w14:textId="77777777" w:rsidR="00633912" w:rsidRDefault="00633912" w:rsidP="006347C0">
                  <w:pPr>
                    <w:framePr w:hSpace="180" w:wrap="around" w:vAnchor="text" w:hAnchor="margin" w:y="-55"/>
                    <w:spacing w:after="180"/>
                    <w:rPr>
                      <w:b/>
                      <w:bCs/>
                      <w:noProof/>
                    </w:rPr>
                  </w:pPr>
                </w:p>
                <w:p w14:paraId="59C7C630" w14:textId="13078A39" w:rsidR="007A22EB" w:rsidRPr="0032141E" w:rsidRDefault="00F747AF" w:rsidP="006347C0">
                  <w:pPr>
                    <w:framePr w:hSpace="180" w:wrap="around" w:vAnchor="text" w:hAnchor="margin" w:y="-55"/>
                    <w:spacing w:after="180"/>
                    <w:rPr>
                      <w:b/>
                      <w:bCs/>
                      <w:noProof/>
                    </w:rPr>
                  </w:pPr>
                  <w:r>
                    <w:rPr>
                      <w:rFonts w:cstheme="minorHAnsi"/>
                      <w:b/>
                      <w:noProof/>
                    </w:rPr>
                    <w:drawing>
                      <wp:inline distT="0" distB="0" distL="0" distR="0" wp14:anchorId="05E950AC" wp14:editId="62C88131">
                        <wp:extent cx="1447800" cy="1873053"/>
                        <wp:effectExtent l="171450" t="171450" r="152400" b="165735"/>
                        <wp:docPr id="45" name="Picture 45"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joy &amp; Aditi.jpg"/>
                                <pic:cNvPicPr/>
                              </pic:nvPicPr>
                              <pic:blipFill rotWithShape="1">
                                <a:blip r:embed="rId41" cstate="screen">
                                  <a:extLst>
                                    <a:ext uri="{28A0092B-C50C-407E-A947-70E740481C1C}">
                                      <a14:useLocalDpi xmlns:a14="http://schemas.microsoft.com/office/drawing/2010/main"/>
                                    </a:ext>
                                  </a:extLst>
                                </a:blip>
                                <a:srcRect/>
                                <a:stretch/>
                              </pic:blipFill>
                              <pic:spPr bwMode="auto">
                                <a:xfrm>
                                  <a:off x="0" y="0"/>
                                  <a:ext cx="1515712" cy="196091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904" w:type="dxa"/>
                  <w:tcBorders>
                    <w:top w:val="nil"/>
                    <w:left w:val="nil"/>
                    <w:bottom w:val="nil"/>
                    <w:right w:val="nil"/>
                  </w:tcBorders>
                  <w:vAlign w:val="center"/>
                </w:tcPr>
                <w:p w14:paraId="419C23C5" w14:textId="77777777" w:rsidR="00633912" w:rsidRDefault="00633912" w:rsidP="006347C0">
                  <w:pPr>
                    <w:framePr w:hSpace="180" w:wrap="around" w:vAnchor="text" w:hAnchor="margin" w:y="-55"/>
                    <w:spacing w:after="180"/>
                    <w:rPr>
                      <w:rFonts w:cstheme="minorHAnsi"/>
                      <w:b/>
                      <w:bCs/>
                    </w:rPr>
                  </w:pPr>
                </w:p>
                <w:p w14:paraId="2342E55A" w14:textId="1C3BEA67" w:rsidR="00FF4D81" w:rsidRPr="0032141E" w:rsidRDefault="00F747AF" w:rsidP="006347C0">
                  <w:pPr>
                    <w:framePr w:hSpace="180" w:wrap="around" w:vAnchor="text" w:hAnchor="margin" w:y="-55"/>
                    <w:spacing w:after="180"/>
                  </w:pPr>
                  <w:r>
                    <w:rPr>
                      <w:rFonts w:cstheme="minorHAnsi"/>
                      <w:b/>
                      <w:bCs/>
                    </w:rPr>
                    <w:t xml:space="preserve">Aditi Sengupta Banerjee, Ph.D. </w:t>
                  </w:r>
                  <w:r>
                    <w:rPr>
                      <w:rFonts w:cstheme="minorHAnsi"/>
                    </w:rPr>
                    <w:t xml:space="preserve">has joined NCI CTEP (Cancer Therapy Evaluation Program) as a Program Analyst in the Agreement Coordination Group.  Most recently she was a Technology Transfer Fellow in the Marketing Group at NIH OTT and continues her studies </w:t>
                  </w:r>
                  <w:r>
                    <w:t xml:space="preserve">towards completing the </w:t>
                  </w:r>
                  <w:r w:rsidRPr="002159EF">
                    <w:t>“Advanced Studies in Technology Transfer Program” at the Foundation for Advanced Education in the Sciences (FAES) Graduate School at NIH</w:t>
                  </w:r>
                  <w:r>
                    <w:t>.  Aditi received her Ph.D. in Molecular Virology and Cancer Cell Biology from Jadavpur University, India and worked as a postdoctoral fellow at NCI and NIAID before joining OTT.</w:t>
                  </w:r>
                </w:p>
              </w:tc>
            </w:tr>
            <w:tr w:rsidR="00CB409B" w:rsidRPr="00443AAF" w14:paraId="2F05222E" w14:textId="77777777" w:rsidTr="00A204AA">
              <w:tc>
                <w:tcPr>
                  <w:tcW w:w="3168" w:type="dxa"/>
                  <w:tcBorders>
                    <w:top w:val="nil"/>
                    <w:left w:val="nil"/>
                    <w:bottom w:val="nil"/>
                    <w:right w:val="nil"/>
                  </w:tcBorders>
                  <w:vAlign w:val="center"/>
                </w:tcPr>
                <w:p w14:paraId="2C85FEB0" w14:textId="74807798" w:rsidR="00CB409B" w:rsidRPr="00443AAF" w:rsidRDefault="00633912" w:rsidP="006347C0">
                  <w:pPr>
                    <w:framePr w:hSpace="180" w:wrap="around" w:vAnchor="text" w:hAnchor="margin" w:y="-55"/>
                    <w:spacing w:after="180"/>
                    <w:rPr>
                      <w:rFonts w:cstheme="minorHAnsi"/>
                      <w:noProof/>
                    </w:rPr>
                  </w:pPr>
                  <w:r>
                    <w:rPr>
                      <w:rFonts w:cstheme="minorHAnsi"/>
                      <w:noProof/>
                      <w:sz w:val="24"/>
                    </w:rPr>
                    <w:drawing>
                      <wp:inline distT="0" distB="0" distL="0" distR="0" wp14:anchorId="7F78FF32" wp14:editId="5FE32077">
                        <wp:extent cx="1344012" cy="1817370"/>
                        <wp:effectExtent l="171450" t="171450" r="161290" b="163830"/>
                        <wp:docPr id="41" name="Picture 4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arlene Maddox5.jpg"/>
                                <pic:cNvPicPr/>
                              </pic:nvPicPr>
                              <pic:blipFill rotWithShape="1">
                                <a:blip r:embed="rId42" cstate="screen">
                                  <a:extLst>
                                    <a:ext uri="{28A0092B-C50C-407E-A947-70E740481C1C}">
                                      <a14:useLocalDpi xmlns:a14="http://schemas.microsoft.com/office/drawing/2010/main"/>
                                    </a:ext>
                                  </a:extLst>
                                </a:blip>
                                <a:srcRect/>
                                <a:stretch/>
                              </pic:blipFill>
                              <pic:spPr bwMode="auto">
                                <a:xfrm>
                                  <a:off x="0" y="0"/>
                                  <a:ext cx="1391690" cy="188184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904" w:type="dxa"/>
                  <w:tcBorders>
                    <w:top w:val="nil"/>
                    <w:left w:val="nil"/>
                    <w:bottom w:val="nil"/>
                    <w:right w:val="nil"/>
                  </w:tcBorders>
                  <w:vAlign w:val="center"/>
                </w:tcPr>
                <w:p w14:paraId="6659C98C" w14:textId="77777777" w:rsidR="00633912" w:rsidRDefault="00633912" w:rsidP="006347C0">
                  <w:pPr>
                    <w:framePr w:hSpace="180" w:wrap="around" w:vAnchor="text" w:hAnchor="margin" w:y="-55"/>
                    <w:rPr>
                      <w:b/>
                      <w:bCs/>
                    </w:rPr>
                  </w:pPr>
                </w:p>
                <w:p w14:paraId="56DAF9E4" w14:textId="48BBC3F7" w:rsidR="00633912" w:rsidRPr="006D0108" w:rsidRDefault="00633912" w:rsidP="006347C0">
                  <w:pPr>
                    <w:framePr w:hSpace="180" w:wrap="around" w:vAnchor="text" w:hAnchor="margin" w:y="-55"/>
                    <w:rPr>
                      <w:rFonts w:cstheme="minorHAnsi"/>
                      <w:bCs/>
                    </w:rPr>
                  </w:pPr>
                  <w:r>
                    <w:rPr>
                      <w:b/>
                      <w:bCs/>
                    </w:rPr>
                    <w:t>Charlene Maddox</w:t>
                  </w:r>
                  <w:r w:rsidRPr="00FA704D">
                    <w:rPr>
                      <w:b/>
                      <w:bCs/>
                    </w:rPr>
                    <w:t>, Ph.D.</w:t>
                  </w:r>
                  <w:r w:rsidRPr="00FA704D">
                    <w:t xml:space="preserve"> </w:t>
                  </w:r>
                  <w:r>
                    <w:t>has re-</w:t>
                  </w:r>
                  <w:r w:rsidRPr="00FA704D">
                    <w:t xml:space="preserve">joined </w:t>
                  </w:r>
                  <w:r>
                    <w:t xml:space="preserve">NIH OTT as the new Chief, Monitoring and Enforcement Unit (MEU),  A former OTT Licensing and Patent Manager in the General Medicine Branch, her most recent technology transfer position was with the FDA.  Charlene still serves as a Commander in the US Public Health Service (USPHS) and holds a </w:t>
                  </w:r>
                  <w:r w:rsidRPr="00111D27">
                    <w:t xml:space="preserve"> B.S. in Chemistry with a Specialization in Biochemistry from the University of Virginia a</w:t>
                  </w:r>
                  <w:r>
                    <w:t>long with</w:t>
                  </w:r>
                  <w:r w:rsidRPr="00111D27">
                    <w:t xml:space="preserve"> </w:t>
                  </w:r>
                  <w:r>
                    <w:t>a</w:t>
                  </w:r>
                  <w:r w:rsidRPr="00111D27">
                    <w:t xml:space="preserve"> Ph.D. in Biochemistry and Molecular Biology at Howard University</w:t>
                  </w:r>
                  <w:r>
                    <w:t>.</w:t>
                  </w:r>
                </w:p>
                <w:p w14:paraId="2B88828D" w14:textId="220D4B3A" w:rsidR="00CB409B" w:rsidRPr="00443AAF" w:rsidRDefault="00CB409B" w:rsidP="006347C0">
                  <w:pPr>
                    <w:framePr w:hSpace="180" w:wrap="around" w:vAnchor="text" w:hAnchor="margin" w:y="-55"/>
                    <w:rPr>
                      <w:rFonts w:cstheme="minorHAnsi"/>
                      <w:b/>
                    </w:rPr>
                  </w:pPr>
                </w:p>
              </w:tc>
            </w:tr>
            <w:tr w:rsidR="004A1B29" w:rsidRPr="00443AAF" w14:paraId="5B6CE5E3" w14:textId="77777777" w:rsidTr="00A204AA">
              <w:tc>
                <w:tcPr>
                  <w:tcW w:w="3168" w:type="dxa"/>
                  <w:tcBorders>
                    <w:top w:val="nil"/>
                    <w:left w:val="nil"/>
                    <w:bottom w:val="nil"/>
                    <w:right w:val="nil"/>
                  </w:tcBorders>
                  <w:vAlign w:val="center"/>
                </w:tcPr>
                <w:p w14:paraId="4FF9AE5C" w14:textId="3853E3D3" w:rsidR="004A1B29" w:rsidRPr="00443AAF" w:rsidRDefault="004A1B29" w:rsidP="006347C0">
                  <w:pPr>
                    <w:framePr w:hSpace="180" w:wrap="around" w:vAnchor="text" w:hAnchor="margin" w:y="-55"/>
                    <w:spacing w:after="180"/>
                    <w:rPr>
                      <w:rFonts w:cstheme="minorHAnsi"/>
                      <w:b/>
                      <w:noProof/>
                    </w:rPr>
                  </w:pPr>
                </w:p>
              </w:tc>
              <w:tc>
                <w:tcPr>
                  <w:tcW w:w="5904" w:type="dxa"/>
                  <w:tcBorders>
                    <w:top w:val="nil"/>
                    <w:left w:val="nil"/>
                    <w:bottom w:val="nil"/>
                    <w:right w:val="nil"/>
                  </w:tcBorders>
                  <w:vAlign w:val="center"/>
                </w:tcPr>
                <w:p w14:paraId="38A2DFB5" w14:textId="77777777" w:rsidR="004A1B29" w:rsidRPr="00443AAF" w:rsidRDefault="004A1B29" w:rsidP="006347C0">
                  <w:pPr>
                    <w:framePr w:hSpace="180" w:wrap="around" w:vAnchor="text" w:hAnchor="margin" w:y="-55"/>
                    <w:spacing w:after="180"/>
                    <w:rPr>
                      <w:rFonts w:cstheme="minorHAnsi"/>
                      <w:b/>
                    </w:rPr>
                  </w:pPr>
                </w:p>
              </w:tc>
            </w:tr>
            <w:tr w:rsidR="00CB409B" w:rsidRPr="00443AAF" w14:paraId="09957C83" w14:textId="77777777" w:rsidTr="00A204AA">
              <w:tc>
                <w:tcPr>
                  <w:tcW w:w="3168" w:type="dxa"/>
                  <w:tcBorders>
                    <w:top w:val="nil"/>
                    <w:left w:val="nil"/>
                    <w:bottom w:val="nil"/>
                    <w:right w:val="nil"/>
                  </w:tcBorders>
                  <w:vAlign w:val="center"/>
                </w:tcPr>
                <w:p w14:paraId="45367C2E" w14:textId="7CCF0256" w:rsidR="00CB409B" w:rsidRPr="00443AAF" w:rsidRDefault="00633912" w:rsidP="006347C0">
                  <w:pPr>
                    <w:framePr w:hSpace="180" w:wrap="around" w:vAnchor="text" w:hAnchor="margin" w:y="-55"/>
                    <w:spacing w:after="180"/>
                    <w:rPr>
                      <w:rFonts w:cstheme="minorHAnsi"/>
                      <w:sz w:val="24"/>
                    </w:rPr>
                  </w:pPr>
                  <w:r>
                    <w:rPr>
                      <w:noProof/>
                    </w:rPr>
                    <w:drawing>
                      <wp:inline distT="0" distB="0" distL="0" distR="0" wp14:anchorId="2C99A204" wp14:editId="1CE94833">
                        <wp:extent cx="1871066" cy="1450975"/>
                        <wp:effectExtent l="152717" t="171133" r="187008" b="167957"/>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screen">
                                  <a:extLst>
                                    <a:ext uri="{28A0092B-C50C-407E-A947-70E740481C1C}">
                                      <a14:useLocalDpi xmlns:a14="http://schemas.microsoft.com/office/drawing/2010/main"/>
                                    </a:ext>
                                  </a:extLst>
                                </a:blip>
                                <a:srcRect/>
                                <a:stretch/>
                              </pic:blipFill>
                              <pic:spPr bwMode="auto">
                                <a:xfrm rot="16200000" flipV="1">
                                  <a:off x="0" y="0"/>
                                  <a:ext cx="1934385" cy="150007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904" w:type="dxa"/>
                  <w:tcBorders>
                    <w:top w:val="nil"/>
                    <w:left w:val="nil"/>
                    <w:bottom w:val="nil"/>
                    <w:right w:val="nil"/>
                  </w:tcBorders>
                  <w:vAlign w:val="center"/>
                </w:tcPr>
                <w:p w14:paraId="03AA0848" w14:textId="77777777" w:rsidR="00633912" w:rsidRPr="00633912" w:rsidRDefault="00633912" w:rsidP="006347C0">
                  <w:pPr>
                    <w:framePr w:hSpace="180" w:wrap="around" w:vAnchor="text" w:hAnchor="margin" w:y="-55"/>
                  </w:pPr>
                  <w:r>
                    <w:rPr>
                      <w:b/>
                      <w:bCs/>
                    </w:rPr>
                    <w:t>D. Ann Pillow</w:t>
                  </w:r>
                  <w:r>
                    <w:t xml:space="preserve"> has joined NIAID’s Technology Transfer and Intellectual Property Office (TTIPO) in Branch A as a Patent Paralegal.  She obtained her paralegal certificate from University of Maryland Global Campus and has since served clients in small, medium, and large law firms as well as from the other side of the table in in-house legal departments. Three such in-house legal departments called upon Ann to set up internal systems from scratch and a fourth utilized her knowledge and experience to audit records and overhaul systems.  TTIPO is thrilled to have Ann on its team and are looking forward to utilizing her technical expertise with the upcoming ETT system.</w:t>
                  </w:r>
                </w:p>
                <w:p w14:paraId="767BE1E1" w14:textId="04D27E2C" w:rsidR="00CB409B" w:rsidRPr="00443AAF" w:rsidRDefault="00CB409B" w:rsidP="006347C0">
                  <w:pPr>
                    <w:framePr w:hSpace="180" w:wrap="around" w:vAnchor="text" w:hAnchor="margin" w:y="-55"/>
                    <w:rPr>
                      <w:rFonts w:cstheme="minorHAnsi"/>
                      <w:sz w:val="24"/>
                    </w:rPr>
                  </w:pPr>
                </w:p>
              </w:tc>
            </w:tr>
            <w:tr w:rsidR="00CB409B" w:rsidRPr="00443AAF" w14:paraId="7B4A5B8E" w14:textId="77777777" w:rsidTr="00724E19">
              <w:tc>
                <w:tcPr>
                  <w:tcW w:w="3168" w:type="dxa"/>
                  <w:tcBorders>
                    <w:top w:val="nil"/>
                    <w:left w:val="nil"/>
                    <w:bottom w:val="nil"/>
                    <w:right w:val="nil"/>
                  </w:tcBorders>
                  <w:vAlign w:val="center"/>
                </w:tcPr>
                <w:p w14:paraId="250C4F18" w14:textId="08BBDE67" w:rsidR="00CB409B" w:rsidRPr="00443AAF" w:rsidRDefault="00CB409B" w:rsidP="006347C0">
                  <w:pPr>
                    <w:framePr w:hSpace="180" w:wrap="around" w:vAnchor="text" w:hAnchor="margin" w:y="-55"/>
                    <w:spacing w:after="180"/>
                    <w:jc w:val="center"/>
                    <w:rPr>
                      <w:rFonts w:cstheme="minorHAnsi"/>
                      <w:b/>
                      <w:noProof/>
                    </w:rPr>
                  </w:pPr>
                </w:p>
              </w:tc>
              <w:tc>
                <w:tcPr>
                  <w:tcW w:w="5904" w:type="dxa"/>
                  <w:tcBorders>
                    <w:top w:val="nil"/>
                    <w:left w:val="nil"/>
                    <w:bottom w:val="nil"/>
                    <w:right w:val="nil"/>
                  </w:tcBorders>
                  <w:vAlign w:val="center"/>
                </w:tcPr>
                <w:p w14:paraId="270F2002" w14:textId="77777777" w:rsidR="00633912" w:rsidRPr="00CB409B" w:rsidRDefault="00633912" w:rsidP="006347C0">
                  <w:pPr>
                    <w:framePr w:hSpace="180" w:wrap="around" w:vAnchor="text" w:hAnchor="margin" w:y="-55"/>
                    <w:rPr>
                      <w:rFonts w:cstheme="minorHAnsi"/>
                    </w:rPr>
                  </w:pPr>
                </w:p>
                <w:p w14:paraId="2F054142" w14:textId="77777777" w:rsidR="007B7210" w:rsidRDefault="007B7210" w:rsidP="006347C0">
                  <w:pPr>
                    <w:framePr w:hSpace="180" w:wrap="around" w:vAnchor="text" w:hAnchor="margin" w:y="-55"/>
                  </w:pPr>
                </w:p>
                <w:p w14:paraId="64430CAE" w14:textId="75A8644A" w:rsidR="00CB409B" w:rsidRPr="005A4A0B" w:rsidRDefault="00CB409B" w:rsidP="006347C0">
                  <w:pPr>
                    <w:framePr w:hSpace="180" w:wrap="around" w:vAnchor="text" w:hAnchor="margin" w:y="-55"/>
                    <w:rPr>
                      <w:rFonts w:cstheme="minorHAnsi"/>
                    </w:rPr>
                  </w:pPr>
                </w:p>
              </w:tc>
            </w:tr>
            <w:tr w:rsidR="00CB409B" w:rsidRPr="00443AAF" w14:paraId="06B694AE" w14:textId="77777777" w:rsidTr="00724E19">
              <w:tc>
                <w:tcPr>
                  <w:tcW w:w="3168" w:type="dxa"/>
                  <w:tcBorders>
                    <w:top w:val="nil"/>
                    <w:left w:val="nil"/>
                    <w:bottom w:val="nil"/>
                    <w:right w:val="nil"/>
                  </w:tcBorders>
                  <w:vAlign w:val="center"/>
                </w:tcPr>
                <w:p w14:paraId="0D7651D1" w14:textId="77777777" w:rsidR="00CB409B" w:rsidRPr="00443AAF" w:rsidRDefault="002F2046" w:rsidP="006347C0">
                  <w:pPr>
                    <w:framePr w:hSpace="180" w:wrap="around" w:vAnchor="text" w:hAnchor="margin" w:y="-55"/>
                    <w:spacing w:after="180"/>
                    <w:jc w:val="center"/>
                    <w:rPr>
                      <w:rFonts w:cstheme="minorHAnsi"/>
                      <w:b/>
                      <w:noProof/>
                    </w:rPr>
                  </w:pPr>
                  <w:r>
                    <w:rPr>
                      <w:rFonts w:cstheme="minorHAnsi"/>
                      <w:bCs/>
                      <w:noProof/>
                    </w:rPr>
                    <w:lastRenderedPageBreak/>
                    <w:drawing>
                      <wp:inline distT="0" distB="0" distL="0" distR="0" wp14:anchorId="208E801C" wp14:editId="7176C53E">
                        <wp:extent cx="1364907" cy="1836420"/>
                        <wp:effectExtent l="171450" t="171450" r="159385" b="163830"/>
                        <wp:docPr id="44" name="Picture 44" descr="A person standing in fron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joy &amp; Aditi.jpg"/>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1395164" cy="18771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904" w:type="dxa"/>
                  <w:tcBorders>
                    <w:top w:val="nil"/>
                    <w:left w:val="nil"/>
                    <w:bottom w:val="nil"/>
                    <w:right w:val="nil"/>
                  </w:tcBorders>
                  <w:vAlign w:val="center"/>
                </w:tcPr>
                <w:p w14:paraId="5BB3404C" w14:textId="0195E055" w:rsidR="00CA5BA8" w:rsidRPr="0031471A" w:rsidRDefault="00CA5BA8" w:rsidP="006347C0">
                  <w:pPr>
                    <w:framePr w:hSpace="180" w:wrap="around" w:vAnchor="text" w:hAnchor="margin" w:y="-55"/>
                    <w:rPr>
                      <w:rFonts w:cstheme="minorHAnsi"/>
                      <w:bCs/>
                    </w:rPr>
                  </w:pPr>
                  <w:r>
                    <w:rPr>
                      <w:rFonts w:cstheme="minorHAnsi"/>
                      <w:b/>
                      <w:bCs/>
                    </w:rPr>
                    <w:t xml:space="preserve">Ajoy Prabhu, MBA </w:t>
                  </w:r>
                  <w:r>
                    <w:rPr>
                      <w:rFonts w:cstheme="minorHAnsi"/>
                      <w:bCs/>
                    </w:rPr>
                    <w:t xml:space="preserve">has left his position of </w:t>
                  </w:r>
                  <w:r w:rsidRPr="00CA5BA8">
                    <w:rPr>
                      <w:rFonts w:cstheme="minorHAnsi"/>
                      <w:bCs/>
                    </w:rPr>
                    <w:t>Head, Marketing Operations</w:t>
                  </w:r>
                  <w:r>
                    <w:rPr>
                      <w:rFonts w:cstheme="minorHAnsi"/>
                      <w:bCs/>
                    </w:rPr>
                    <w:t xml:space="preserve">, NIH OTT in order help co-found (with his physician wife) a new health and wellness clinic in Mumbai, India.  Prior to joining OTT, </w:t>
                  </w:r>
                  <w:r w:rsidR="002B557C">
                    <w:rPr>
                      <w:rFonts w:cstheme="minorHAnsi"/>
                      <w:bCs/>
                    </w:rPr>
                    <w:t xml:space="preserve">Ajoy </w:t>
                  </w:r>
                  <w:r>
                    <w:rPr>
                      <w:rFonts w:cstheme="minorHAnsi"/>
                      <w:bCs/>
                    </w:rPr>
                    <w:t xml:space="preserve">served in similar tech transfer roles at NIAID TTIPO.  While the current pandemic has delayed their plans for relocation to India, we wish Ajoy &amp; family future success with this important patient care project. </w:t>
                  </w:r>
                </w:p>
              </w:tc>
            </w:tr>
            <w:tr w:rsidR="005A4A0B" w:rsidRPr="00443AAF" w14:paraId="63114C93" w14:textId="77777777" w:rsidTr="00724E19">
              <w:tc>
                <w:tcPr>
                  <w:tcW w:w="3168" w:type="dxa"/>
                  <w:tcBorders>
                    <w:top w:val="nil"/>
                    <w:left w:val="nil"/>
                    <w:bottom w:val="nil"/>
                    <w:right w:val="nil"/>
                  </w:tcBorders>
                  <w:vAlign w:val="center"/>
                </w:tcPr>
                <w:p w14:paraId="58FE4DEF" w14:textId="77777777" w:rsidR="00633912" w:rsidRDefault="00633912" w:rsidP="006347C0">
                  <w:pPr>
                    <w:framePr w:hSpace="180" w:wrap="around" w:vAnchor="text" w:hAnchor="margin" w:y="-55"/>
                    <w:spacing w:after="180"/>
                    <w:rPr>
                      <w:rFonts w:cstheme="minorHAnsi"/>
                      <w:b/>
                      <w:noProof/>
                    </w:rPr>
                  </w:pPr>
                </w:p>
                <w:p w14:paraId="6E8F9F2F" w14:textId="70A0843F" w:rsidR="005A4A0B" w:rsidRPr="00443AAF" w:rsidRDefault="00633912" w:rsidP="006347C0">
                  <w:pPr>
                    <w:framePr w:hSpace="180" w:wrap="around" w:vAnchor="text" w:hAnchor="margin" w:y="-55"/>
                    <w:spacing w:after="180"/>
                    <w:rPr>
                      <w:rFonts w:cstheme="minorHAnsi"/>
                      <w:b/>
                      <w:noProof/>
                    </w:rPr>
                  </w:pPr>
                  <w:r>
                    <w:rPr>
                      <w:rFonts w:cstheme="minorHAnsi"/>
                      <w:b/>
                      <w:noProof/>
                    </w:rPr>
                    <w:drawing>
                      <wp:inline distT="0" distB="0" distL="0" distR="0" wp14:anchorId="7FFD7161" wp14:editId="38F380C9">
                        <wp:extent cx="1422400" cy="1727200"/>
                        <wp:effectExtent l="171450" t="171450" r="158750" b="158750"/>
                        <wp:docPr id="37" name="Picture 3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Karen Rogers.JPG"/>
                                <pic:cNvPicPr/>
                              </pic:nvPicPr>
                              <pic:blipFill>
                                <a:blip r:embed="rId45">
                                  <a:extLst>
                                    <a:ext uri="{28A0092B-C50C-407E-A947-70E740481C1C}">
                                      <a14:useLocalDpi xmlns:a14="http://schemas.microsoft.com/office/drawing/2010/main"/>
                                    </a:ext>
                                  </a:extLst>
                                </a:blip>
                                <a:stretch>
                                  <a:fillRect/>
                                </a:stretch>
                              </pic:blipFill>
                              <pic:spPr>
                                <a:xfrm>
                                  <a:off x="0" y="0"/>
                                  <a:ext cx="1422400" cy="1727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904" w:type="dxa"/>
                  <w:tcBorders>
                    <w:top w:val="nil"/>
                    <w:left w:val="nil"/>
                    <w:bottom w:val="nil"/>
                    <w:right w:val="nil"/>
                  </w:tcBorders>
                  <w:vAlign w:val="center"/>
                </w:tcPr>
                <w:p w14:paraId="606B6C43" w14:textId="77777777" w:rsidR="00633912" w:rsidRDefault="00633912" w:rsidP="006347C0">
                  <w:pPr>
                    <w:framePr w:hSpace="180" w:wrap="around" w:vAnchor="text" w:hAnchor="margin" w:y="-55"/>
                    <w:rPr>
                      <w:b/>
                      <w:bCs/>
                    </w:rPr>
                  </w:pPr>
                </w:p>
                <w:p w14:paraId="71A35B9C" w14:textId="17F03421" w:rsidR="00633912" w:rsidRDefault="00633912" w:rsidP="006347C0">
                  <w:pPr>
                    <w:framePr w:hSpace="180" w:wrap="around" w:vAnchor="text" w:hAnchor="margin" w:y="-55"/>
                    <w:rPr>
                      <w:b/>
                      <w:bCs/>
                    </w:rPr>
                  </w:pPr>
                </w:p>
                <w:p w14:paraId="750C8843" w14:textId="7CD46DF8" w:rsidR="004072C1" w:rsidRDefault="004072C1" w:rsidP="006347C0">
                  <w:pPr>
                    <w:framePr w:hSpace="180" w:wrap="around" w:vAnchor="text" w:hAnchor="margin" w:y="-55"/>
                    <w:rPr>
                      <w:b/>
                      <w:bCs/>
                    </w:rPr>
                  </w:pPr>
                </w:p>
                <w:p w14:paraId="7C8BB834" w14:textId="77777777" w:rsidR="004072C1" w:rsidRDefault="004072C1" w:rsidP="006347C0">
                  <w:pPr>
                    <w:framePr w:hSpace="180" w:wrap="around" w:vAnchor="text" w:hAnchor="margin" w:y="-55"/>
                    <w:rPr>
                      <w:b/>
                      <w:bCs/>
                    </w:rPr>
                  </w:pPr>
                </w:p>
                <w:p w14:paraId="4A64D675" w14:textId="77777777" w:rsidR="00633912" w:rsidRDefault="00633912" w:rsidP="006347C0">
                  <w:pPr>
                    <w:framePr w:hSpace="180" w:wrap="around" w:vAnchor="text" w:hAnchor="margin" w:y="-55"/>
                  </w:pPr>
                  <w:r>
                    <w:rPr>
                      <w:b/>
                      <w:bCs/>
                    </w:rPr>
                    <w:t>Karen Rogers</w:t>
                  </w:r>
                  <w:r>
                    <w:t xml:space="preserve">, currently Acting Director and Senior Royalties Administrator at NIH OTT,  has been selected to additionally serve as the NIH Agency-Level Representative to the Federal Laboratory Consortium (FLC).  </w:t>
                  </w:r>
                  <w:r w:rsidRPr="008A35C1">
                    <w:t>The FLC was organized in 1974 and formally chartered by the Federal Technology Transfer Act of 1986 to promote and strengthen technology transfer nationwide. Today, more than 300 federal laboratories, facilities and research centers and their parent agencies make up the FLC community.</w:t>
                  </w:r>
                </w:p>
                <w:p w14:paraId="14A9A679" w14:textId="77777777" w:rsidR="00633912" w:rsidRDefault="00633912" w:rsidP="006347C0">
                  <w:pPr>
                    <w:framePr w:hSpace="180" w:wrap="around" w:vAnchor="text" w:hAnchor="margin" w:y="-55"/>
                    <w:rPr>
                      <w:b/>
                      <w:bCs/>
                    </w:rPr>
                  </w:pPr>
                </w:p>
                <w:p w14:paraId="5F50A139" w14:textId="77777777" w:rsidR="00633912" w:rsidRDefault="00633912" w:rsidP="006347C0">
                  <w:pPr>
                    <w:framePr w:hSpace="180" w:wrap="around" w:vAnchor="text" w:hAnchor="margin" w:y="-55"/>
                    <w:rPr>
                      <w:b/>
                      <w:bCs/>
                    </w:rPr>
                  </w:pPr>
                </w:p>
                <w:p w14:paraId="16DACDAE" w14:textId="559BBE6E" w:rsidR="005A4A0B" w:rsidRPr="00FA704D" w:rsidRDefault="005A4A0B" w:rsidP="006347C0">
                  <w:pPr>
                    <w:framePr w:hSpace="180" w:wrap="around" w:vAnchor="text" w:hAnchor="margin" w:y="-55"/>
                    <w:rPr>
                      <w:rFonts w:cstheme="minorHAnsi"/>
                      <w:b/>
                      <w:bCs/>
                    </w:rPr>
                  </w:pPr>
                </w:p>
              </w:tc>
            </w:tr>
            <w:tr w:rsidR="004072C1" w:rsidRPr="00443AAF" w14:paraId="4D46B729" w14:textId="77777777" w:rsidTr="00724E19">
              <w:tc>
                <w:tcPr>
                  <w:tcW w:w="3168" w:type="dxa"/>
                  <w:tcBorders>
                    <w:top w:val="nil"/>
                    <w:left w:val="nil"/>
                    <w:bottom w:val="nil"/>
                    <w:right w:val="nil"/>
                  </w:tcBorders>
                  <w:vAlign w:val="center"/>
                </w:tcPr>
                <w:p w14:paraId="6993F6D5" w14:textId="301CA760" w:rsidR="004072C1" w:rsidRPr="00443AAF" w:rsidRDefault="004072C1" w:rsidP="006347C0">
                  <w:pPr>
                    <w:framePr w:hSpace="180" w:wrap="around" w:vAnchor="text" w:hAnchor="margin" w:y="-55"/>
                    <w:spacing w:after="180"/>
                    <w:rPr>
                      <w:rFonts w:cstheme="minorHAnsi"/>
                      <w:b/>
                      <w:noProof/>
                    </w:rPr>
                  </w:pPr>
                  <w:r>
                    <w:rPr>
                      <w:noProof/>
                    </w:rPr>
                    <w:drawing>
                      <wp:inline distT="0" distB="0" distL="0" distR="0" wp14:anchorId="564DE2FE" wp14:editId="050A114E">
                        <wp:extent cx="1454785" cy="1779839"/>
                        <wp:effectExtent l="171450" t="171450" r="164465" b="163830"/>
                        <wp:docPr id="23" name="Picture 23"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rna.jpg"/>
                                <pic:cNvPicPr/>
                              </pic:nvPicPr>
                              <pic:blipFill rotWithShape="1">
                                <a:blip r:embed="rId46" cstate="screen">
                                  <a:extLst>
                                    <a:ext uri="{28A0092B-C50C-407E-A947-70E740481C1C}">
                                      <a14:useLocalDpi xmlns:a14="http://schemas.microsoft.com/office/drawing/2010/main"/>
                                    </a:ext>
                                  </a:extLst>
                                </a:blip>
                                <a:srcRect/>
                                <a:stretch/>
                              </pic:blipFill>
                              <pic:spPr bwMode="auto">
                                <a:xfrm>
                                  <a:off x="0" y="0"/>
                                  <a:ext cx="1509169" cy="184637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904" w:type="dxa"/>
                  <w:tcBorders>
                    <w:top w:val="nil"/>
                    <w:left w:val="nil"/>
                    <w:bottom w:val="nil"/>
                    <w:right w:val="nil"/>
                  </w:tcBorders>
                  <w:vAlign w:val="center"/>
                </w:tcPr>
                <w:p w14:paraId="32D49055" w14:textId="77777777" w:rsidR="004072C1" w:rsidRDefault="004072C1" w:rsidP="006347C0">
                  <w:pPr>
                    <w:framePr w:hSpace="180" w:wrap="around" w:vAnchor="text" w:hAnchor="margin" w:y="-55"/>
                    <w:rPr>
                      <w:b/>
                      <w:bCs/>
                    </w:rPr>
                  </w:pPr>
                </w:p>
                <w:p w14:paraId="1FB1C8F9" w14:textId="77777777" w:rsidR="004072C1" w:rsidRDefault="004072C1" w:rsidP="006347C0">
                  <w:pPr>
                    <w:framePr w:hSpace="180" w:wrap="around" w:vAnchor="text" w:hAnchor="margin" w:y="-55"/>
                    <w:rPr>
                      <w:b/>
                      <w:bCs/>
                    </w:rPr>
                  </w:pPr>
                </w:p>
                <w:p w14:paraId="0277C5DD" w14:textId="77777777" w:rsidR="004072C1" w:rsidRDefault="004072C1" w:rsidP="006347C0">
                  <w:pPr>
                    <w:framePr w:hSpace="180" w:wrap="around" w:vAnchor="text" w:hAnchor="margin" w:y="-55"/>
                  </w:pPr>
                  <w:r w:rsidRPr="002159EF">
                    <w:rPr>
                      <w:b/>
                      <w:bCs/>
                    </w:rPr>
                    <w:t>Berna Uygur, Ph.D.</w:t>
                  </w:r>
                  <w:r>
                    <w:t xml:space="preserve"> joined </w:t>
                  </w:r>
                  <w:r w:rsidRPr="002159EF">
                    <w:t>TTC</w:t>
                  </w:r>
                  <w:r>
                    <w:t xml:space="preserve"> in April 2020 as a CRTA fellow. Previously, she</w:t>
                  </w:r>
                  <w:r w:rsidRPr="002159EF">
                    <w:t xml:space="preserve"> was a postdoctoral fellow at </w:t>
                  </w:r>
                  <w:r>
                    <w:t xml:space="preserve">NICHD </w:t>
                  </w:r>
                  <w:r w:rsidRPr="002159EF">
                    <w:t xml:space="preserve">for six years and worked on prostate cancer related research projects. She has a Ph.D. in Biochemistry and Molecular Biology from the University of Maine with expertise on prostate cancer. Berna holds </w:t>
                  </w:r>
                  <w:r>
                    <w:t xml:space="preserve">a </w:t>
                  </w:r>
                  <w:r w:rsidRPr="002159EF">
                    <w:t xml:space="preserve">Master Science degree in applied medical science from University of Southern Maine, </w:t>
                  </w:r>
                  <w:r>
                    <w:t xml:space="preserve">and </w:t>
                  </w:r>
                  <w:r w:rsidRPr="002159EF">
                    <w:t xml:space="preserve">Master and Bachelor Science degrees in textile chemical engineering from Ege University, Turkey. While </w:t>
                  </w:r>
                  <w:r>
                    <w:t xml:space="preserve">at </w:t>
                  </w:r>
                  <w:r w:rsidRPr="002159EF">
                    <w:t xml:space="preserve">her postdoctoral training at NICHD, </w:t>
                  </w:r>
                  <w:r>
                    <w:t>she</w:t>
                  </w:r>
                  <w:r w:rsidRPr="002159EF">
                    <w:t xml:space="preserve"> completed “Advanced Studies in Technology Transfer Program” at the Foundation for Advanced Education in the Sciences (FAES) Graduate School at NIH. In her spare time, Berna likes writing, cooking Mediterranean cuisine, traveling and running</w:t>
                  </w:r>
                  <w:r>
                    <w:t>.</w:t>
                  </w:r>
                </w:p>
                <w:p w14:paraId="6C712FE1" w14:textId="2436A895" w:rsidR="004072C1" w:rsidRPr="008D69CE" w:rsidRDefault="004072C1" w:rsidP="006347C0">
                  <w:pPr>
                    <w:framePr w:hSpace="180" w:wrap="around" w:vAnchor="text" w:hAnchor="margin" w:y="-55"/>
                  </w:pPr>
                </w:p>
              </w:tc>
            </w:tr>
            <w:tr w:rsidR="004072C1" w:rsidRPr="00443AAF" w14:paraId="32EA955A" w14:textId="77777777" w:rsidTr="00724E19">
              <w:tc>
                <w:tcPr>
                  <w:tcW w:w="3168" w:type="dxa"/>
                  <w:tcBorders>
                    <w:top w:val="nil"/>
                    <w:left w:val="nil"/>
                    <w:bottom w:val="nil"/>
                    <w:right w:val="nil"/>
                  </w:tcBorders>
                  <w:vAlign w:val="center"/>
                </w:tcPr>
                <w:p w14:paraId="15AABC2C" w14:textId="7A24F286" w:rsidR="004072C1" w:rsidRPr="00443AAF" w:rsidRDefault="004072C1" w:rsidP="006347C0">
                  <w:pPr>
                    <w:framePr w:hSpace="180" w:wrap="around" w:vAnchor="text" w:hAnchor="margin" w:y="-55"/>
                    <w:spacing w:after="180"/>
                    <w:jc w:val="center"/>
                    <w:rPr>
                      <w:rFonts w:cstheme="minorHAnsi"/>
                      <w:b/>
                      <w:noProof/>
                    </w:rPr>
                  </w:pPr>
                  <w:r w:rsidRPr="002159EF">
                    <w:rPr>
                      <w:b/>
                      <w:bCs/>
                      <w:noProof/>
                    </w:rPr>
                    <w:lastRenderedPageBreak/>
                    <w:drawing>
                      <wp:inline distT="0" distB="0" distL="0" distR="0" wp14:anchorId="76790639" wp14:editId="1BF0B4B7">
                        <wp:extent cx="1409464" cy="1699260"/>
                        <wp:effectExtent l="171450" t="152400" r="153035" b="167640"/>
                        <wp:docPr id="26" name="Picture 26"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iaoli Weng.jpg"/>
                                <pic:cNvPicPr/>
                              </pic:nvPicPr>
                              <pic:blipFill rotWithShape="1">
                                <a:blip r:embed="rId47" cstate="screen">
                                  <a:extLst>
                                    <a:ext uri="{28A0092B-C50C-407E-A947-70E740481C1C}">
                                      <a14:useLocalDpi xmlns:a14="http://schemas.microsoft.com/office/drawing/2010/main"/>
                                    </a:ext>
                                  </a:extLst>
                                </a:blip>
                                <a:srcRect/>
                                <a:stretch/>
                              </pic:blipFill>
                              <pic:spPr bwMode="auto">
                                <a:xfrm>
                                  <a:off x="0" y="0"/>
                                  <a:ext cx="1458223" cy="175804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5904" w:type="dxa"/>
                  <w:tcBorders>
                    <w:top w:val="nil"/>
                    <w:left w:val="nil"/>
                    <w:bottom w:val="nil"/>
                    <w:right w:val="nil"/>
                  </w:tcBorders>
                  <w:vAlign w:val="center"/>
                </w:tcPr>
                <w:p w14:paraId="7BF6BED5" w14:textId="77777777" w:rsidR="004072C1" w:rsidRDefault="004072C1" w:rsidP="006347C0">
                  <w:pPr>
                    <w:framePr w:hSpace="180" w:wrap="around" w:vAnchor="text" w:hAnchor="margin" w:y="-55"/>
                    <w:spacing w:after="180"/>
                  </w:pPr>
                  <w:r w:rsidRPr="002159EF">
                    <w:rPr>
                      <w:b/>
                      <w:bCs/>
                    </w:rPr>
                    <w:t xml:space="preserve">Xiaoli Weng, Ph.D. </w:t>
                  </w:r>
                  <w:r>
                    <w:t>joined TTC’s IDMU in April 2020 as a CRTA fellow. Before joining TTC, she was a postdoc at NCI for two years. She has a Ph.D. in Molecular Biophysics from the Johns Hopkins School of Medicine. Xiaoli worked as an intern in TTC’s Invention Development and Marketing Unit since November 2019. In her spare time, Xiaoli loves to draw and paint using both digital and traditional media. She also enjoys traveling the world and exploring new places.</w:t>
                  </w:r>
                </w:p>
                <w:p w14:paraId="226FB7CA" w14:textId="363D3DEB" w:rsidR="004072C1" w:rsidRPr="00443AAF" w:rsidRDefault="004072C1" w:rsidP="006347C0">
                  <w:pPr>
                    <w:framePr w:hSpace="180" w:wrap="around" w:vAnchor="text" w:hAnchor="margin" w:y="-55"/>
                    <w:spacing w:after="180"/>
                    <w:rPr>
                      <w:rFonts w:cstheme="minorHAnsi"/>
                    </w:rPr>
                  </w:pPr>
                </w:p>
              </w:tc>
            </w:tr>
          </w:tbl>
          <w:p w14:paraId="513C97A3" w14:textId="77777777" w:rsidR="004A4DD7" w:rsidRPr="00443AAF" w:rsidRDefault="004A4DD7" w:rsidP="0029024C">
            <w:pPr>
              <w:spacing w:after="180"/>
              <w:rPr>
                <w:rFonts w:cstheme="minorHAnsi"/>
                <w:sz w:val="24"/>
              </w:rPr>
            </w:pPr>
          </w:p>
        </w:tc>
      </w:tr>
    </w:tbl>
    <w:p w14:paraId="30BABC05" w14:textId="1653380F" w:rsidR="009166DB" w:rsidRDefault="009166DB" w:rsidP="00A5596A">
      <w:pPr>
        <w:rPr>
          <w:rFonts w:cstheme="minorHAnsi"/>
        </w:rPr>
      </w:pPr>
    </w:p>
    <w:p w14:paraId="0C87F9E4" w14:textId="55B59DA0" w:rsidR="0092007C" w:rsidRDefault="00164430" w:rsidP="00A5596A">
      <w:pPr>
        <w:rPr>
          <w:rFonts w:cstheme="minorHAnsi"/>
        </w:rPr>
      </w:pPr>
      <w:r>
        <w:rPr>
          <w:rFonts w:cstheme="minorHAnsi"/>
          <w:noProof/>
        </w:rPr>
        <w:drawing>
          <wp:anchor distT="0" distB="0" distL="114300" distR="114300" simplePos="0" relativeHeight="251781120" behindDoc="0" locked="0" layoutInCell="1" allowOverlap="1" wp14:anchorId="728213CC" wp14:editId="6A4912F5">
            <wp:simplePos x="0" y="0"/>
            <wp:positionH relativeFrom="margin">
              <wp:align>center</wp:align>
            </wp:positionH>
            <wp:positionV relativeFrom="page">
              <wp:align>center</wp:align>
            </wp:positionV>
            <wp:extent cx="2717800" cy="57721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89949263110b5f0df471ceac6d6ec46.gif"/>
                    <pic:cNvPicPr/>
                  </pic:nvPicPr>
                  <pic:blipFill rotWithShape="1">
                    <a:blip r:embed="rId48" cstate="screen">
                      <a:extLst>
                        <a:ext uri="{28A0092B-C50C-407E-A947-70E740481C1C}">
                          <a14:useLocalDpi xmlns:a14="http://schemas.microsoft.com/office/drawing/2010/main"/>
                        </a:ext>
                      </a:extLst>
                    </a:blip>
                    <a:srcRect t="36879" b="41871"/>
                    <a:stretch/>
                  </pic:blipFill>
                  <pic:spPr bwMode="auto">
                    <a:xfrm>
                      <a:off x="0" y="0"/>
                      <a:ext cx="2717800" cy="57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2007C" w:rsidSect="00E83429">
      <w:footerReference w:type="first" r:id="rId49"/>
      <w:pgSz w:w="12240" w:h="15840"/>
      <w:pgMar w:top="1080" w:right="1080" w:bottom="36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2F103" w14:textId="77777777" w:rsidR="00786248" w:rsidRDefault="00786248" w:rsidP="009122A0">
      <w:r>
        <w:separator/>
      </w:r>
    </w:p>
  </w:endnote>
  <w:endnote w:type="continuationSeparator" w:id="0">
    <w:p w14:paraId="6D5030E3" w14:textId="77777777" w:rsidR="00786248" w:rsidRDefault="00786248" w:rsidP="00912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EB5CD" w14:textId="18C626A4" w:rsidR="00724E19" w:rsidRPr="00C72B9D" w:rsidRDefault="00724E19">
    <w:pPr>
      <w:pStyle w:val="Footer"/>
      <w:rPr>
        <w:rFonts w:ascii="Corbel" w:hAnsi="Corbel"/>
        <w:sz w:val="20"/>
      </w:rPr>
    </w:pPr>
    <w:r w:rsidRPr="00C72B9D">
      <w:rPr>
        <w:rFonts w:ascii="Corbel" w:hAnsi="Corbel"/>
        <w:noProof/>
        <w:sz w:val="20"/>
      </w:rPr>
      <mc:AlternateContent>
        <mc:Choice Requires="wps">
          <w:drawing>
            <wp:anchor distT="0" distB="0" distL="114300" distR="114300" simplePos="0" relativeHeight="251661312" behindDoc="0" locked="0" layoutInCell="1" allowOverlap="1" wp14:anchorId="4BBDC819" wp14:editId="4AB24A36">
              <wp:simplePos x="0" y="0"/>
              <wp:positionH relativeFrom="column">
                <wp:posOffset>-76200</wp:posOffset>
              </wp:positionH>
              <wp:positionV relativeFrom="paragraph">
                <wp:posOffset>-67293</wp:posOffset>
              </wp:positionV>
              <wp:extent cx="6549081" cy="0"/>
              <wp:effectExtent l="0" t="0" r="23495" b="19050"/>
              <wp:wrapNone/>
              <wp:docPr id="5" name="Straight Connector 5"/>
              <wp:cNvGraphicFramePr/>
              <a:graphic xmlns:a="http://schemas.openxmlformats.org/drawingml/2006/main">
                <a:graphicData uri="http://schemas.microsoft.com/office/word/2010/wordprocessingShape">
                  <wps:wsp>
                    <wps:cNvCnPr/>
                    <wps:spPr>
                      <a:xfrm>
                        <a:off x="0" y="0"/>
                        <a:ext cx="65490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FE43A" id="Straight Connector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pt,-5.3pt" to="509.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" strokecolor="#5b9bd5 [3204]" strokeweight=".5pt">
              <v:stroke joinstyle="miter"/>
            </v:line>
          </w:pict>
        </mc:Fallback>
      </mc:AlternateContent>
    </w:r>
    <w:r w:rsidR="00EC11FC">
      <w:rPr>
        <w:rFonts w:ascii="Corbel" w:hAnsi="Corbel"/>
        <w:noProof/>
        <w:sz w:val="20"/>
      </w:rPr>
      <w:t>April 2020</w:t>
    </w:r>
    <w:r w:rsidRPr="00C72B9D">
      <w:rPr>
        <w:rFonts w:ascii="Corbel" w:hAnsi="Corbel"/>
        <w:sz w:val="20"/>
      </w:rPr>
      <w:ptab w:relativeTo="margin" w:alignment="center" w:leader="none"/>
    </w:r>
    <w:r w:rsidRPr="00C72B9D">
      <w:rPr>
        <w:rFonts w:ascii="Corbel" w:hAnsi="Corbel"/>
        <w:sz w:val="20"/>
      </w:rPr>
      <w:t>NIH Technology Transfer Community Newsletter</w:t>
    </w:r>
    <w:r w:rsidRPr="00C72B9D">
      <w:rPr>
        <w:rFonts w:ascii="Corbel" w:hAnsi="Corbel"/>
        <w:sz w:val="20"/>
      </w:rPr>
      <w:ptab w:relativeTo="margin" w:alignment="right" w:leader="none"/>
    </w:r>
    <w:r w:rsidRPr="00C72B9D">
      <w:rPr>
        <w:rFonts w:ascii="Corbel" w:hAnsi="Corbel"/>
        <w:sz w:val="20"/>
      </w:rPr>
      <w:fldChar w:fldCharType="begin"/>
    </w:r>
    <w:r w:rsidRPr="00C72B9D">
      <w:rPr>
        <w:rFonts w:ascii="Corbel" w:hAnsi="Corbel"/>
        <w:sz w:val="20"/>
      </w:rPr>
      <w:instrText xml:space="preserve"> PAGE  \* Arabic  \* MERGEFORMAT </w:instrText>
    </w:r>
    <w:r w:rsidRPr="00C72B9D">
      <w:rPr>
        <w:rFonts w:ascii="Corbel" w:hAnsi="Corbel"/>
        <w:sz w:val="20"/>
      </w:rPr>
      <w:fldChar w:fldCharType="separate"/>
    </w:r>
    <w:r>
      <w:rPr>
        <w:rFonts w:ascii="Corbel" w:hAnsi="Corbel"/>
        <w:noProof/>
        <w:sz w:val="20"/>
      </w:rPr>
      <w:t>10</w:t>
    </w:r>
    <w:r w:rsidRPr="00C72B9D">
      <w:rPr>
        <w:rFonts w:ascii="Corbel" w:hAnsi="Corbe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5ABF" w14:textId="0AA8E2D7" w:rsidR="00724E19" w:rsidRDefault="00724E19">
    <w:pPr>
      <w:pStyle w:val="Footer"/>
    </w:pPr>
    <w:r>
      <w:rPr>
        <w:rFonts w:ascii="Corbel" w:hAnsi="Corbel"/>
        <w:noProof/>
        <w:sz w:val="20"/>
      </w:rPr>
      <w:t xml:space="preserve">April </w:t>
    </w:r>
    <w:r w:rsidRPr="00A441A1">
      <w:rPr>
        <w:rFonts w:ascii="Corbel" w:hAnsi="Corbel"/>
        <w:noProof/>
        <w:sz w:val="20"/>
      </w:rPr>
      <w:t xml:space="preserve"> 2020</w:t>
    </w:r>
    <w:r w:rsidRPr="00C72B9D">
      <w:rPr>
        <w:rFonts w:ascii="Corbel" w:hAnsi="Corbel"/>
        <w:sz w:val="20"/>
      </w:rPr>
      <w:ptab w:relativeTo="margin" w:alignment="center" w:leader="none"/>
    </w:r>
    <w:r w:rsidRPr="00C72B9D">
      <w:rPr>
        <w:rFonts w:ascii="Corbel" w:hAnsi="Corbel"/>
        <w:sz w:val="20"/>
      </w:rPr>
      <w:t>NIH Technology Transfer Community Newsletter</w:t>
    </w:r>
    <w:r w:rsidRPr="00C72B9D">
      <w:rPr>
        <w:rFonts w:ascii="Corbel" w:hAnsi="Corbel"/>
        <w:sz w:val="20"/>
      </w:rPr>
      <w:ptab w:relativeTo="margin" w:alignment="right" w:leader="none"/>
    </w:r>
    <w:r w:rsidRPr="00C72B9D">
      <w:rPr>
        <w:rFonts w:ascii="Corbel" w:hAnsi="Corbel"/>
        <w:sz w:val="20"/>
      </w:rPr>
      <w:fldChar w:fldCharType="begin"/>
    </w:r>
    <w:r w:rsidRPr="00C72B9D">
      <w:rPr>
        <w:rFonts w:ascii="Corbel" w:hAnsi="Corbel"/>
        <w:sz w:val="20"/>
      </w:rPr>
      <w:instrText xml:space="preserve"> PAGE  \* Arabic  \* MERGEFORMAT </w:instrText>
    </w:r>
    <w:r w:rsidRPr="00C72B9D">
      <w:rPr>
        <w:rFonts w:ascii="Corbel" w:hAnsi="Corbel"/>
        <w:sz w:val="20"/>
      </w:rPr>
      <w:fldChar w:fldCharType="separate"/>
    </w:r>
    <w:r>
      <w:rPr>
        <w:rFonts w:ascii="Corbel" w:hAnsi="Corbel"/>
        <w:sz w:val="20"/>
      </w:rPr>
      <w:t>4</w:t>
    </w:r>
    <w:r w:rsidRPr="00C72B9D">
      <w:rPr>
        <w:rFonts w:ascii="Corbel" w:hAnsi="Corbe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894AC" w14:textId="4F5A8EA5" w:rsidR="00724E19" w:rsidRPr="00C72B9D" w:rsidRDefault="00724E19">
    <w:pPr>
      <w:pStyle w:val="Footer"/>
      <w:rPr>
        <w:rFonts w:ascii="Corbel" w:hAnsi="Corbel"/>
        <w:sz w:val="20"/>
      </w:rPr>
    </w:pPr>
    <w:r w:rsidRPr="00C72B9D">
      <w:rPr>
        <w:rFonts w:ascii="Corbel" w:hAnsi="Corbel"/>
        <w:noProof/>
        <w:sz w:val="20"/>
      </w:rPr>
      <mc:AlternateContent>
        <mc:Choice Requires="wps">
          <w:drawing>
            <wp:anchor distT="0" distB="0" distL="114300" distR="114300" simplePos="0" relativeHeight="251659264" behindDoc="0" locked="0" layoutInCell="1" allowOverlap="1" wp14:anchorId="11F82393" wp14:editId="77798714">
              <wp:simplePos x="0" y="0"/>
              <wp:positionH relativeFrom="column">
                <wp:posOffset>-76200</wp:posOffset>
              </wp:positionH>
              <wp:positionV relativeFrom="paragraph">
                <wp:posOffset>-67293</wp:posOffset>
              </wp:positionV>
              <wp:extent cx="6549081" cy="0"/>
              <wp:effectExtent l="0" t="0" r="23495" b="19050"/>
              <wp:wrapNone/>
              <wp:docPr id="22" name="Straight Connector 22"/>
              <wp:cNvGraphicFramePr/>
              <a:graphic xmlns:a="http://schemas.openxmlformats.org/drawingml/2006/main">
                <a:graphicData uri="http://schemas.microsoft.com/office/word/2010/wordprocessingShape">
                  <wps:wsp>
                    <wps:cNvCnPr/>
                    <wps:spPr>
                      <a:xfrm>
                        <a:off x="0" y="0"/>
                        <a:ext cx="654908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w14:anchorId="558CFB23" id="Straight Connector 2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5.3pt" to="509.7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" strokecolor="#5b9bd5 [3204]" strokeweight=".5pt">
              <v:stroke joinstyle="miter"/>
            </v:line>
          </w:pict>
        </mc:Fallback>
      </mc:AlternateContent>
    </w:r>
    <w:r w:rsidRPr="00A441A1">
      <w:t xml:space="preserve"> </w:t>
    </w:r>
    <w:r>
      <w:rPr>
        <w:rFonts w:ascii="Corbel" w:hAnsi="Corbel"/>
        <w:noProof/>
        <w:sz w:val="20"/>
      </w:rPr>
      <w:t xml:space="preserve">April </w:t>
    </w:r>
    <w:r w:rsidRPr="00A441A1">
      <w:rPr>
        <w:rFonts w:ascii="Corbel" w:hAnsi="Corbel"/>
        <w:noProof/>
        <w:sz w:val="20"/>
      </w:rPr>
      <w:t xml:space="preserve"> 2020</w:t>
    </w:r>
    <w:r w:rsidRPr="00C72B9D">
      <w:rPr>
        <w:rFonts w:ascii="Corbel" w:hAnsi="Corbel"/>
        <w:sz w:val="20"/>
      </w:rPr>
      <w:ptab w:relativeTo="margin" w:alignment="center" w:leader="none"/>
    </w:r>
    <w:r w:rsidRPr="00C72B9D">
      <w:rPr>
        <w:rFonts w:ascii="Corbel" w:hAnsi="Corbel"/>
        <w:sz w:val="20"/>
      </w:rPr>
      <w:t>NIH Technology Transfer Community Newsletter</w:t>
    </w:r>
    <w:r w:rsidRPr="00C72B9D">
      <w:rPr>
        <w:rFonts w:ascii="Corbel" w:hAnsi="Corbel"/>
        <w:sz w:val="20"/>
      </w:rPr>
      <w:ptab w:relativeTo="margin" w:alignment="right" w:leader="none"/>
    </w:r>
    <w:r w:rsidRPr="00C72B9D">
      <w:rPr>
        <w:rFonts w:ascii="Corbel" w:hAnsi="Corbel"/>
        <w:sz w:val="20"/>
      </w:rPr>
      <w:fldChar w:fldCharType="begin"/>
    </w:r>
    <w:r w:rsidRPr="00C72B9D">
      <w:rPr>
        <w:rFonts w:ascii="Corbel" w:hAnsi="Corbel"/>
        <w:sz w:val="20"/>
      </w:rPr>
      <w:instrText xml:space="preserve"> PAGE  \* Arabic  \* MERGEFORMAT </w:instrText>
    </w:r>
    <w:r w:rsidRPr="00C72B9D">
      <w:rPr>
        <w:rFonts w:ascii="Corbel" w:hAnsi="Corbel"/>
        <w:sz w:val="20"/>
      </w:rPr>
      <w:fldChar w:fldCharType="separate"/>
    </w:r>
    <w:r>
      <w:rPr>
        <w:rFonts w:ascii="Corbel" w:hAnsi="Corbel"/>
        <w:noProof/>
        <w:sz w:val="20"/>
      </w:rPr>
      <w:t>10</w:t>
    </w:r>
    <w:r w:rsidRPr="00C72B9D">
      <w:rPr>
        <w:rFonts w:ascii="Corbel" w:hAnsi="Corbel"/>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DE5B8" w14:textId="6197A3FE" w:rsidR="007F1DF3" w:rsidRDefault="007F1DF3">
    <w:pPr>
      <w:pStyle w:val="Footer"/>
    </w:pPr>
    <w:r>
      <w:rPr>
        <w:rFonts w:ascii="Corbel" w:hAnsi="Corbel"/>
        <w:noProof/>
        <w:sz w:val="20"/>
      </w:rPr>
      <w:t xml:space="preserve">April </w:t>
    </w:r>
    <w:r w:rsidRPr="00A441A1">
      <w:rPr>
        <w:rFonts w:ascii="Corbel" w:hAnsi="Corbel"/>
        <w:noProof/>
        <w:sz w:val="20"/>
      </w:rPr>
      <w:t xml:space="preserve"> 2020</w:t>
    </w:r>
    <w:r w:rsidRPr="00C72B9D">
      <w:rPr>
        <w:rFonts w:ascii="Corbel" w:hAnsi="Corbel"/>
        <w:sz w:val="20"/>
      </w:rPr>
      <w:ptab w:relativeTo="margin" w:alignment="center" w:leader="none"/>
    </w:r>
    <w:r w:rsidRPr="00C72B9D">
      <w:rPr>
        <w:rFonts w:ascii="Corbel" w:hAnsi="Corbel"/>
        <w:sz w:val="20"/>
      </w:rPr>
      <w:t>NIH Technology Transfer Community Newsletter</w:t>
    </w:r>
    <w:r w:rsidRPr="00C72B9D">
      <w:rPr>
        <w:rFonts w:ascii="Corbel" w:hAnsi="Corbel"/>
        <w:sz w:val="20"/>
      </w:rPr>
      <w:ptab w:relativeTo="margin" w:alignment="right" w:leader="none"/>
    </w:r>
    <w:r w:rsidRPr="00C72B9D">
      <w:rPr>
        <w:rFonts w:ascii="Corbel" w:hAnsi="Corbel"/>
        <w:sz w:val="20"/>
      </w:rPr>
      <w:fldChar w:fldCharType="begin"/>
    </w:r>
    <w:r w:rsidRPr="00C72B9D">
      <w:rPr>
        <w:rFonts w:ascii="Corbel" w:hAnsi="Corbel"/>
        <w:sz w:val="20"/>
      </w:rPr>
      <w:instrText xml:space="preserve"> PAGE  \* Arabic  \* MERGEFORMAT </w:instrText>
    </w:r>
    <w:r w:rsidRPr="00C72B9D">
      <w:rPr>
        <w:rFonts w:ascii="Corbel" w:hAnsi="Corbel"/>
        <w:sz w:val="20"/>
      </w:rPr>
      <w:fldChar w:fldCharType="separate"/>
    </w:r>
    <w:r>
      <w:rPr>
        <w:rFonts w:ascii="Corbel" w:hAnsi="Corbel"/>
        <w:sz w:val="20"/>
      </w:rPr>
      <w:t>4</w:t>
    </w:r>
    <w:r w:rsidRPr="00C72B9D">
      <w:rPr>
        <w:rFonts w:ascii="Corbel" w:hAnsi="Corbel"/>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020B4" w14:textId="77777777" w:rsidR="00786248" w:rsidRDefault="00786248" w:rsidP="009122A0">
      <w:r>
        <w:separator/>
      </w:r>
    </w:p>
  </w:footnote>
  <w:footnote w:type="continuationSeparator" w:id="0">
    <w:p w14:paraId="7756F090" w14:textId="77777777" w:rsidR="00786248" w:rsidRDefault="00786248" w:rsidP="009122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E48D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64EDA"/>
    <w:multiLevelType w:val="hybridMultilevel"/>
    <w:tmpl w:val="71B82CEA"/>
    <w:lvl w:ilvl="0" w:tplc="101A004E">
      <w:start w:val="6"/>
      <w:numFmt w:val="decimal"/>
      <w:lvlText w:val="%1."/>
      <w:lvlJc w:val="left"/>
      <w:pPr>
        <w:tabs>
          <w:tab w:val="num" w:pos="990"/>
        </w:tabs>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D6EA1"/>
    <w:multiLevelType w:val="hybridMultilevel"/>
    <w:tmpl w:val="B5529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E8417AA"/>
    <w:multiLevelType w:val="hybridMultilevel"/>
    <w:tmpl w:val="FEF812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EB556AA"/>
    <w:multiLevelType w:val="hybridMultilevel"/>
    <w:tmpl w:val="08CE4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67CBF"/>
    <w:multiLevelType w:val="hybridMultilevel"/>
    <w:tmpl w:val="F906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31AF3"/>
    <w:multiLevelType w:val="hybridMultilevel"/>
    <w:tmpl w:val="3F482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F18E1"/>
    <w:multiLevelType w:val="hybridMultilevel"/>
    <w:tmpl w:val="FACAD2B4"/>
    <w:lvl w:ilvl="0" w:tplc="13DAE5BC">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1820EE"/>
    <w:multiLevelType w:val="hybridMultilevel"/>
    <w:tmpl w:val="CCAC8978"/>
    <w:lvl w:ilvl="0" w:tplc="0409000F">
      <w:start w:val="1"/>
      <w:numFmt w:val="decimal"/>
      <w:lvlText w:val="%1."/>
      <w:lvlJc w:val="left"/>
      <w:pPr>
        <w:tabs>
          <w:tab w:val="num" w:pos="990"/>
        </w:tabs>
        <w:ind w:left="99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3E00DDD"/>
    <w:multiLevelType w:val="hybridMultilevel"/>
    <w:tmpl w:val="FA309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31A60"/>
    <w:multiLevelType w:val="hybridMultilevel"/>
    <w:tmpl w:val="FCFE50E0"/>
    <w:lvl w:ilvl="0" w:tplc="B21EC970">
      <w:numFmt w:val="bullet"/>
      <w:lvlText w:val="•"/>
      <w:lvlJc w:val="left"/>
      <w:pPr>
        <w:ind w:left="1080" w:hanging="720"/>
      </w:pPr>
      <w:rPr>
        <w:rFonts w:ascii="Corbel" w:eastAsiaTheme="minorHAnsi" w:hAnsi="Corbe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1701D"/>
    <w:multiLevelType w:val="hybridMultilevel"/>
    <w:tmpl w:val="B1BE6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62FEF"/>
    <w:multiLevelType w:val="hybridMultilevel"/>
    <w:tmpl w:val="5F42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5406A"/>
    <w:multiLevelType w:val="hybridMultilevel"/>
    <w:tmpl w:val="DF98693E"/>
    <w:lvl w:ilvl="0" w:tplc="9B905A8C">
      <w:start w:val="4"/>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64C0C"/>
    <w:multiLevelType w:val="hybridMultilevel"/>
    <w:tmpl w:val="441E9D1C"/>
    <w:lvl w:ilvl="0" w:tplc="9B905A8C">
      <w:start w:val="4"/>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B3C65"/>
    <w:multiLevelType w:val="hybridMultilevel"/>
    <w:tmpl w:val="7C6469BE"/>
    <w:lvl w:ilvl="0" w:tplc="B21EC970">
      <w:numFmt w:val="bullet"/>
      <w:lvlText w:val="•"/>
      <w:lvlJc w:val="left"/>
      <w:pPr>
        <w:ind w:left="1080" w:hanging="72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C777FF"/>
    <w:multiLevelType w:val="hybridMultilevel"/>
    <w:tmpl w:val="8D3CDC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20B56D1"/>
    <w:multiLevelType w:val="hybridMultilevel"/>
    <w:tmpl w:val="99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A4591"/>
    <w:multiLevelType w:val="hybridMultilevel"/>
    <w:tmpl w:val="379A6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20255C"/>
    <w:multiLevelType w:val="hybridMultilevel"/>
    <w:tmpl w:val="D4CC43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FA35FBE"/>
    <w:multiLevelType w:val="hybridMultilevel"/>
    <w:tmpl w:val="6FC0A87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15:restartNumberingAfterBreak="0">
    <w:nsid w:val="59C35821"/>
    <w:multiLevelType w:val="hybridMultilevel"/>
    <w:tmpl w:val="0C4060C6"/>
    <w:lvl w:ilvl="0" w:tplc="CB5ADF2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F85467"/>
    <w:multiLevelType w:val="hybridMultilevel"/>
    <w:tmpl w:val="96F01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2166AD"/>
    <w:multiLevelType w:val="hybridMultilevel"/>
    <w:tmpl w:val="B0CC2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66AEC"/>
    <w:multiLevelType w:val="hybridMultilevel"/>
    <w:tmpl w:val="CB12E588"/>
    <w:lvl w:ilvl="0" w:tplc="04090001">
      <w:start w:val="1"/>
      <w:numFmt w:val="bullet"/>
      <w:lvlText w:val=""/>
      <w:lvlJc w:val="left"/>
      <w:pPr>
        <w:ind w:left="720" w:hanging="360"/>
      </w:pPr>
      <w:rPr>
        <w:rFonts w:ascii="Symbol" w:hAnsi="Symbol" w:hint="default"/>
      </w:rPr>
    </w:lvl>
    <w:lvl w:ilvl="1" w:tplc="45AC3AA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FD1D4A"/>
    <w:multiLevelType w:val="hybridMultilevel"/>
    <w:tmpl w:val="C180C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304A1"/>
    <w:multiLevelType w:val="hybridMultilevel"/>
    <w:tmpl w:val="8126F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F82371"/>
    <w:multiLevelType w:val="hybridMultilevel"/>
    <w:tmpl w:val="9B9C4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22390C"/>
    <w:multiLevelType w:val="hybridMultilevel"/>
    <w:tmpl w:val="6BA40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947535"/>
    <w:multiLevelType w:val="hybridMultilevel"/>
    <w:tmpl w:val="A4AA75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C10BD5"/>
    <w:multiLevelType w:val="hybridMultilevel"/>
    <w:tmpl w:val="3EBE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65B78"/>
    <w:multiLevelType w:val="hybridMultilevel"/>
    <w:tmpl w:val="AC6C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2E71"/>
    <w:multiLevelType w:val="multilevel"/>
    <w:tmpl w:val="E3E68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320D3B"/>
    <w:multiLevelType w:val="hybridMultilevel"/>
    <w:tmpl w:val="8B5E0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373660">
    <w:abstractNumId w:val="9"/>
  </w:num>
  <w:num w:numId="2" w16cid:durableId="1339388930">
    <w:abstractNumId w:val="15"/>
  </w:num>
  <w:num w:numId="3" w16cid:durableId="1497069904">
    <w:abstractNumId w:val="29"/>
  </w:num>
  <w:num w:numId="4" w16cid:durableId="1117258553">
    <w:abstractNumId w:val="10"/>
  </w:num>
  <w:num w:numId="5" w16cid:durableId="1457984064">
    <w:abstractNumId w:val="30"/>
  </w:num>
  <w:num w:numId="6" w16cid:durableId="1495759546">
    <w:abstractNumId w:val="28"/>
  </w:num>
  <w:num w:numId="7" w16cid:durableId="1287345867">
    <w:abstractNumId w:val="7"/>
  </w:num>
  <w:num w:numId="8" w16cid:durableId="293214760">
    <w:abstractNumId w:val="0"/>
  </w:num>
  <w:num w:numId="9" w16cid:durableId="1186940632">
    <w:abstractNumId w:val="25"/>
  </w:num>
  <w:num w:numId="10" w16cid:durableId="1116951242">
    <w:abstractNumId w:val="8"/>
  </w:num>
  <w:num w:numId="11" w16cid:durableId="1857422065">
    <w:abstractNumId w:val="2"/>
  </w:num>
  <w:num w:numId="12" w16cid:durableId="1407805475">
    <w:abstractNumId w:val="16"/>
  </w:num>
  <w:num w:numId="13" w16cid:durableId="2090958649">
    <w:abstractNumId w:val="1"/>
  </w:num>
  <w:num w:numId="14" w16cid:durableId="1909339804">
    <w:abstractNumId w:val="5"/>
  </w:num>
  <w:num w:numId="15" w16cid:durableId="309216118">
    <w:abstractNumId w:val="26"/>
  </w:num>
  <w:num w:numId="16" w16cid:durableId="217477380">
    <w:abstractNumId w:val="24"/>
  </w:num>
  <w:num w:numId="17" w16cid:durableId="648049974">
    <w:abstractNumId w:val="22"/>
  </w:num>
  <w:num w:numId="18" w16cid:durableId="780876095">
    <w:abstractNumId w:val="19"/>
  </w:num>
  <w:num w:numId="19" w16cid:durableId="1470635665">
    <w:abstractNumId w:val="3"/>
  </w:num>
  <w:num w:numId="20" w16cid:durableId="989552631">
    <w:abstractNumId w:val="32"/>
  </w:num>
  <w:num w:numId="21" w16cid:durableId="265427833">
    <w:abstractNumId w:val="21"/>
  </w:num>
  <w:num w:numId="22" w16cid:durableId="410583251">
    <w:abstractNumId w:val="33"/>
  </w:num>
  <w:num w:numId="23" w16cid:durableId="324404987">
    <w:abstractNumId w:val="31"/>
  </w:num>
  <w:num w:numId="24" w16cid:durableId="521477867">
    <w:abstractNumId w:val="18"/>
  </w:num>
  <w:num w:numId="25" w16cid:durableId="481392102">
    <w:abstractNumId w:val="12"/>
  </w:num>
  <w:num w:numId="26" w16cid:durableId="1948922912">
    <w:abstractNumId w:val="6"/>
  </w:num>
  <w:num w:numId="27" w16cid:durableId="636034186">
    <w:abstractNumId w:val="4"/>
  </w:num>
  <w:num w:numId="28" w16cid:durableId="976642468">
    <w:abstractNumId w:val="23"/>
  </w:num>
  <w:num w:numId="29" w16cid:durableId="970524331">
    <w:abstractNumId w:val="14"/>
  </w:num>
  <w:num w:numId="30" w16cid:durableId="1232689632">
    <w:abstractNumId w:val="20"/>
  </w:num>
  <w:num w:numId="31" w16cid:durableId="87432910">
    <w:abstractNumId w:val="17"/>
  </w:num>
  <w:num w:numId="32" w16cid:durableId="1248807189">
    <w:abstractNumId w:val="11"/>
  </w:num>
  <w:num w:numId="33" w16cid:durableId="587544211">
    <w:abstractNumId w:val="13"/>
  </w:num>
  <w:num w:numId="34" w16cid:durableId="168335885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D89"/>
    <w:rsid w:val="0000460C"/>
    <w:rsid w:val="00010DC3"/>
    <w:rsid w:val="00011C82"/>
    <w:rsid w:val="000217A8"/>
    <w:rsid w:val="000220DB"/>
    <w:rsid w:val="0002611C"/>
    <w:rsid w:val="000364A3"/>
    <w:rsid w:val="00042331"/>
    <w:rsid w:val="00046BE9"/>
    <w:rsid w:val="00047F44"/>
    <w:rsid w:val="00051C4E"/>
    <w:rsid w:val="00051F98"/>
    <w:rsid w:val="00052DE8"/>
    <w:rsid w:val="00060E2D"/>
    <w:rsid w:val="0006168C"/>
    <w:rsid w:val="00063DC8"/>
    <w:rsid w:val="00064264"/>
    <w:rsid w:val="00067EBE"/>
    <w:rsid w:val="000800A0"/>
    <w:rsid w:val="00080BF0"/>
    <w:rsid w:val="0008576E"/>
    <w:rsid w:val="000904C3"/>
    <w:rsid w:val="00091A6C"/>
    <w:rsid w:val="00095DD8"/>
    <w:rsid w:val="000A68EB"/>
    <w:rsid w:val="000A6945"/>
    <w:rsid w:val="000C06DC"/>
    <w:rsid w:val="000D4EC0"/>
    <w:rsid w:val="000D6A55"/>
    <w:rsid w:val="000E175D"/>
    <w:rsid w:val="000F776D"/>
    <w:rsid w:val="00105A17"/>
    <w:rsid w:val="00105B39"/>
    <w:rsid w:val="001065DE"/>
    <w:rsid w:val="00111D27"/>
    <w:rsid w:val="00116C18"/>
    <w:rsid w:val="00120066"/>
    <w:rsid w:val="00123638"/>
    <w:rsid w:val="00123EE4"/>
    <w:rsid w:val="001321CE"/>
    <w:rsid w:val="00134068"/>
    <w:rsid w:val="0014091D"/>
    <w:rsid w:val="0014311E"/>
    <w:rsid w:val="0016207A"/>
    <w:rsid w:val="00164430"/>
    <w:rsid w:val="00166F45"/>
    <w:rsid w:val="001768B3"/>
    <w:rsid w:val="001B25A7"/>
    <w:rsid w:val="001B3DDF"/>
    <w:rsid w:val="001B5172"/>
    <w:rsid w:val="001C0D0D"/>
    <w:rsid w:val="001C6284"/>
    <w:rsid w:val="001D2761"/>
    <w:rsid w:val="001D592F"/>
    <w:rsid w:val="001E1191"/>
    <w:rsid w:val="001E1412"/>
    <w:rsid w:val="001F38D7"/>
    <w:rsid w:val="002032F8"/>
    <w:rsid w:val="00203764"/>
    <w:rsid w:val="0022413F"/>
    <w:rsid w:val="00224F32"/>
    <w:rsid w:val="002359C1"/>
    <w:rsid w:val="00236525"/>
    <w:rsid w:val="00240785"/>
    <w:rsid w:val="002453A5"/>
    <w:rsid w:val="0026351F"/>
    <w:rsid w:val="00266CA5"/>
    <w:rsid w:val="00267C80"/>
    <w:rsid w:val="0027079B"/>
    <w:rsid w:val="0028381B"/>
    <w:rsid w:val="0029024C"/>
    <w:rsid w:val="00290F5E"/>
    <w:rsid w:val="00291814"/>
    <w:rsid w:val="002A5055"/>
    <w:rsid w:val="002B0234"/>
    <w:rsid w:val="002B4F53"/>
    <w:rsid w:val="002B50DD"/>
    <w:rsid w:val="002B5161"/>
    <w:rsid w:val="002B557C"/>
    <w:rsid w:val="002C54C6"/>
    <w:rsid w:val="002C579E"/>
    <w:rsid w:val="002C71B6"/>
    <w:rsid w:val="002D24FB"/>
    <w:rsid w:val="002E68F7"/>
    <w:rsid w:val="002F2046"/>
    <w:rsid w:val="002F209F"/>
    <w:rsid w:val="002F3024"/>
    <w:rsid w:val="002F7DD1"/>
    <w:rsid w:val="00311BE3"/>
    <w:rsid w:val="0031471A"/>
    <w:rsid w:val="00314AF7"/>
    <w:rsid w:val="0032141E"/>
    <w:rsid w:val="003214DB"/>
    <w:rsid w:val="00322C44"/>
    <w:rsid w:val="003255BA"/>
    <w:rsid w:val="00332D93"/>
    <w:rsid w:val="00345264"/>
    <w:rsid w:val="00345911"/>
    <w:rsid w:val="00345FE2"/>
    <w:rsid w:val="00353F51"/>
    <w:rsid w:val="003565D9"/>
    <w:rsid w:val="00365E10"/>
    <w:rsid w:val="00370B78"/>
    <w:rsid w:val="00373CD2"/>
    <w:rsid w:val="0037456E"/>
    <w:rsid w:val="00377EEF"/>
    <w:rsid w:val="003813AC"/>
    <w:rsid w:val="00382028"/>
    <w:rsid w:val="003867CF"/>
    <w:rsid w:val="00397E05"/>
    <w:rsid w:val="003A4CE3"/>
    <w:rsid w:val="003B14A4"/>
    <w:rsid w:val="003E05B1"/>
    <w:rsid w:val="003E354E"/>
    <w:rsid w:val="00402BB0"/>
    <w:rsid w:val="00404726"/>
    <w:rsid w:val="00405D89"/>
    <w:rsid w:val="004072C1"/>
    <w:rsid w:val="00414DAD"/>
    <w:rsid w:val="004216FD"/>
    <w:rsid w:val="00430BA7"/>
    <w:rsid w:val="0043488E"/>
    <w:rsid w:val="004405C8"/>
    <w:rsid w:val="00443AAF"/>
    <w:rsid w:val="004441FF"/>
    <w:rsid w:val="00445026"/>
    <w:rsid w:val="00451319"/>
    <w:rsid w:val="004554AE"/>
    <w:rsid w:val="004723AE"/>
    <w:rsid w:val="00473E48"/>
    <w:rsid w:val="0047659F"/>
    <w:rsid w:val="00493C40"/>
    <w:rsid w:val="004A0341"/>
    <w:rsid w:val="004A171B"/>
    <w:rsid w:val="004A1B29"/>
    <w:rsid w:val="004A4DD7"/>
    <w:rsid w:val="004B6A74"/>
    <w:rsid w:val="004C28EA"/>
    <w:rsid w:val="004D05E8"/>
    <w:rsid w:val="004D3009"/>
    <w:rsid w:val="004D4069"/>
    <w:rsid w:val="004D4275"/>
    <w:rsid w:val="004E0FE1"/>
    <w:rsid w:val="004E77DC"/>
    <w:rsid w:val="004F1B8F"/>
    <w:rsid w:val="004F26F4"/>
    <w:rsid w:val="005002B4"/>
    <w:rsid w:val="00502E3D"/>
    <w:rsid w:val="00510196"/>
    <w:rsid w:val="005150D3"/>
    <w:rsid w:val="00521CF3"/>
    <w:rsid w:val="00541961"/>
    <w:rsid w:val="00542B95"/>
    <w:rsid w:val="00557BE9"/>
    <w:rsid w:val="00591FB4"/>
    <w:rsid w:val="00593B34"/>
    <w:rsid w:val="00593B7E"/>
    <w:rsid w:val="005A4A0B"/>
    <w:rsid w:val="005A5843"/>
    <w:rsid w:val="005B17A3"/>
    <w:rsid w:val="005B58FF"/>
    <w:rsid w:val="005B7298"/>
    <w:rsid w:val="005C0A1D"/>
    <w:rsid w:val="005C1473"/>
    <w:rsid w:val="005C24A9"/>
    <w:rsid w:val="005C6123"/>
    <w:rsid w:val="005D0F81"/>
    <w:rsid w:val="005D38F9"/>
    <w:rsid w:val="005E1120"/>
    <w:rsid w:val="005E7ECC"/>
    <w:rsid w:val="00604978"/>
    <w:rsid w:val="006065B4"/>
    <w:rsid w:val="00610BFE"/>
    <w:rsid w:val="00611D80"/>
    <w:rsid w:val="00612E37"/>
    <w:rsid w:val="006132E7"/>
    <w:rsid w:val="0062300B"/>
    <w:rsid w:val="006241A8"/>
    <w:rsid w:val="006300E5"/>
    <w:rsid w:val="0063049B"/>
    <w:rsid w:val="00632378"/>
    <w:rsid w:val="00633912"/>
    <w:rsid w:val="006347C0"/>
    <w:rsid w:val="00640FB2"/>
    <w:rsid w:val="00647735"/>
    <w:rsid w:val="00651772"/>
    <w:rsid w:val="00653648"/>
    <w:rsid w:val="00656EB1"/>
    <w:rsid w:val="00682296"/>
    <w:rsid w:val="006851D4"/>
    <w:rsid w:val="006864CF"/>
    <w:rsid w:val="006A1702"/>
    <w:rsid w:val="006A4291"/>
    <w:rsid w:val="006A7513"/>
    <w:rsid w:val="006B4AD3"/>
    <w:rsid w:val="006C293E"/>
    <w:rsid w:val="006C7FD0"/>
    <w:rsid w:val="006D0108"/>
    <w:rsid w:val="006F0200"/>
    <w:rsid w:val="006F6124"/>
    <w:rsid w:val="006F6710"/>
    <w:rsid w:val="006F69B2"/>
    <w:rsid w:val="007005E7"/>
    <w:rsid w:val="007027CF"/>
    <w:rsid w:val="00703558"/>
    <w:rsid w:val="007039A0"/>
    <w:rsid w:val="00707240"/>
    <w:rsid w:val="007115A6"/>
    <w:rsid w:val="00712834"/>
    <w:rsid w:val="00724A69"/>
    <w:rsid w:val="00724E19"/>
    <w:rsid w:val="0073692C"/>
    <w:rsid w:val="007418C4"/>
    <w:rsid w:val="00741DF7"/>
    <w:rsid w:val="00742A2B"/>
    <w:rsid w:val="007523D7"/>
    <w:rsid w:val="007574D0"/>
    <w:rsid w:val="0076048B"/>
    <w:rsid w:val="0076421A"/>
    <w:rsid w:val="00765B87"/>
    <w:rsid w:val="0076714E"/>
    <w:rsid w:val="00767607"/>
    <w:rsid w:val="00767DB9"/>
    <w:rsid w:val="00770D39"/>
    <w:rsid w:val="00772261"/>
    <w:rsid w:val="0077259D"/>
    <w:rsid w:val="007755FD"/>
    <w:rsid w:val="0077679B"/>
    <w:rsid w:val="00776E8C"/>
    <w:rsid w:val="00781006"/>
    <w:rsid w:val="00784D4B"/>
    <w:rsid w:val="00786248"/>
    <w:rsid w:val="007870EF"/>
    <w:rsid w:val="00792046"/>
    <w:rsid w:val="00795793"/>
    <w:rsid w:val="007A22EB"/>
    <w:rsid w:val="007B11E6"/>
    <w:rsid w:val="007B7210"/>
    <w:rsid w:val="007C4475"/>
    <w:rsid w:val="007D2C5D"/>
    <w:rsid w:val="007D5FD3"/>
    <w:rsid w:val="007F1DF3"/>
    <w:rsid w:val="007F7A72"/>
    <w:rsid w:val="00810758"/>
    <w:rsid w:val="008108D1"/>
    <w:rsid w:val="00812E96"/>
    <w:rsid w:val="0081736F"/>
    <w:rsid w:val="0083739C"/>
    <w:rsid w:val="00841FA0"/>
    <w:rsid w:val="00842BF5"/>
    <w:rsid w:val="00846BE4"/>
    <w:rsid w:val="00852B5A"/>
    <w:rsid w:val="008572A7"/>
    <w:rsid w:val="00864821"/>
    <w:rsid w:val="008703F4"/>
    <w:rsid w:val="00873549"/>
    <w:rsid w:val="008916E8"/>
    <w:rsid w:val="00892EC2"/>
    <w:rsid w:val="00896AEC"/>
    <w:rsid w:val="008A35C1"/>
    <w:rsid w:val="008A57ED"/>
    <w:rsid w:val="008A6C37"/>
    <w:rsid w:val="008C0157"/>
    <w:rsid w:val="008C1014"/>
    <w:rsid w:val="008C3574"/>
    <w:rsid w:val="008D5CDB"/>
    <w:rsid w:val="008D69CE"/>
    <w:rsid w:val="008E34F3"/>
    <w:rsid w:val="008E75E1"/>
    <w:rsid w:val="008F4645"/>
    <w:rsid w:val="008F557D"/>
    <w:rsid w:val="008F7118"/>
    <w:rsid w:val="0090469D"/>
    <w:rsid w:val="009122A0"/>
    <w:rsid w:val="009166DB"/>
    <w:rsid w:val="009169E2"/>
    <w:rsid w:val="00917600"/>
    <w:rsid w:val="0092007C"/>
    <w:rsid w:val="009257C7"/>
    <w:rsid w:val="00931831"/>
    <w:rsid w:val="00933D82"/>
    <w:rsid w:val="009344FB"/>
    <w:rsid w:val="0093586D"/>
    <w:rsid w:val="009433CF"/>
    <w:rsid w:val="0094373C"/>
    <w:rsid w:val="009442F1"/>
    <w:rsid w:val="00945E48"/>
    <w:rsid w:val="009461A9"/>
    <w:rsid w:val="00950508"/>
    <w:rsid w:val="009524A2"/>
    <w:rsid w:val="0095532D"/>
    <w:rsid w:val="0097222C"/>
    <w:rsid w:val="00973053"/>
    <w:rsid w:val="00976FF7"/>
    <w:rsid w:val="00981761"/>
    <w:rsid w:val="00990CA2"/>
    <w:rsid w:val="0099115F"/>
    <w:rsid w:val="009A165C"/>
    <w:rsid w:val="009B58F2"/>
    <w:rsid w:val="009D0D35"/>
    <w:rsid w:val="009E119F"/>
    <w:rsid w:val="009E7968"/>
    <w:rsid w:val="009F0E74"/>
    <w:rsid w:val="009F1992"/>
    <w:rsid w:val="00A0232D"/>
    <w:rsid w:val="00A03FED"/>
    <w:rsid w:val="00A10A7A"/>
    <w:rsid w:val="00A16CBD"/>
    <w:rsid w:val="00A204AA"/>
    <w:rsid w:val="00A257D3"/>
    <w:rsid w:val="00A27769"/>
    <w:rsid w:val="00A32B6B"/>
    <w:rsid w:val="00A42980"/>
    <w:rsid w:val="00A43AE2"/>
    <w:rsid w:val="00A441A1"/>
    <w:rsid w:val="00A44CFF"/>
    <w:rsid w:val="00A45610"/>
    <w:rsid w:val="00A53C4A"/>
    <w:rsid w:val="00A5596A"/>
    <w:rsid w:val="00A6299C"/>
    <w:rsid w:val="00A64017"/>
    <w:rsid w:val="00A740A6"/>
    <w:rsid w:val="00A77BF5"/>
    <w:rsid w:val="00A851E9"/>
    <w:rsid w:val="00AA2701"/>
    <w:rsid w:val="00AA28B9"/>
    <w:rsid w:val="00AA3FDF"/>
    <w:rsid w:val="00AB3C6E"/>
    <w:rsid w:val="00AC7393"/>
    <w:rsid w:val="00AC7B9C"/>
    <w:rsid w:val="00AD6276"/>
    <w:rsid w:val="00AD7A81"/>
    <w:rsid w:val="00AE6983"/>
    <w:rsid w:val="00AF084B"/>
    <w:rsid w:val="00AF48B1"/>
    <w:rsid w:val="00B12C7E"/>
    <w:rsid w:val="00B1524E"/>
    <w:rsid w:val="00B16157"/>
    <w:rsid w:val="00B2728E"/>
    <w:rsid w:val="00B27E25"/>
    <w:rsid w:val="00B3349B"/>
    <w:rsid w:val="00B37790"/>
    <w:rsid w:val="00B45620"/>
    <w:rsid w:val="00B50044"/>
    <w:rsid w:val="00B51036"/>
    <w:rsid w:val="00B53470"/>
    <w:rsid w:val="00B53D4B"/>
    <w:rsid w:val="00B54ECC"/>
    <w:rsid w:val="00B6160A"/>
    <w:rsid w:val="00B72528"/>
    <w:rsid w:val="00B805B9"/>
    <w:rsid w:val="00B87F9E"/>
    <w:rsid w:val="00B90E50"/>
    <w:rsid w:val="00BB059D"/>
    <w:rsid w:val="00BB4A97"/>
    <w:rsid w:val="00BC73B0"/>
    <w:rsid w:val="00BD1DAD"/>
    <w:rsid w:val="00BD1FE3"/>
    <w:rsid w:val="00BD6384"/>
    <w:rsid w:val="00BE4C27"/>
    <w:rsid w:val="00BF2AF4"/>
    <w:rsid w:val="00C10A8D"/>
    <w:rsid w:val="00C1293A"/>
    <w:rsid w:val="00C141B8"/>
    <w:rsid w:val="00C16912"/>
    <w:rsid w:val="00C21E71"/>
    <w:rsid w:val="00C22F07"/>
    <w:rsid w:val="00C25323"/>
    <w:rsid w:val="00C3015C"/>
    <w:rsid w:val="00C312CD"/>
    <w:rsid w:val="00C36828"/>
    <w:rsid w:val="00C445F0"/>
    <w:rsid w:val="00C51BCF"/>
    <w:rsid w:val="00C5375F"/>
    <w:rsid w:val="00C65CAE"/>
    <w:rsid w:val="00C6674A"/>
    <w:rsid w:val="00C72B9D"/>
    <w:rsid w:val="00C73361"/>
    <w:rsid w:val="00C74230"/>
    <w:rsid w:val="00C75B54"/>
    <w:rsid w:val="00C7654F"/>
    <w:rsid w:val="00C80AC9"/>
    <w:rsid w:val="00C8218E"/>
    <w:rsid w:val="00C83741"/>
    <w:rsid w:val="00C918C3"/>
    <w:rsid w:val="00C92668"/>
    <w:rsid w:val="00CA4416"/>
    <w:rsid w:val="00CA4E5A"/>
    <w:rsid w:val="00CA5BA8"/>
    <w:rsid w:val="00CB2DCC"/>
    <w:rsid w:val="00CB409B"/>
    <w:rsid w:val="00CC1436"/>
    <w:rsid w:val="00CC5CDA"/>
    <w:rsid w:val="00CC649E"/>
    <w:rsid w:val="00CD3727"/>
    <w:rsid w:val="00CD40C3"/>
    <w:rsid w:val="00CE2D37"/>
    <w:rsid w:val="00CF4203"/>
    <w:rsid w:val="00D056DF"/>
    <w:rsid w:val="00D10B78"/>
    <w:rsid w:val="00D138CA"/>
    <w:rsid w:val="00D16E6F"/>
    <w:rsid w:val="00D17DD1"/>
    <w:rsid w:val="00D17F80"/>
    <w:rsid w:val="00D438C1"/>
    <w:rsid w:val="00D4537A"/>
    <w:rsid w:val="00D45E0D"/>
    <w:rsid w:val="00D478F7"/>
    <w:rsid w:val="00D522CA"/>
    <w:rsid w:val="00D56576"/>
    <w:rsid w:val="00D60C07"/>
    <w:rsid w:val="00D65015"/>
    <w:rsid w:val="00D65366"/>
    <w:rsid w:val="00D75233"/>
    <w:rsid w:val="00D804BC"/>
    <w:rsid w:val="00D82DA7"/>
    <w:rsid w:val="00D914E8"/>
    <w:rsid w:val="00D91670"/>
    <w:rsid w:val="00D96234"/>
    <w:rsid w:val="00DA0520"/>
    <w:rsid w:val="00DA68DC"/>
    <w:rsid w:val="00DB2D77"/>
    <w:rsid w:val="00DB557A"/>
    <w:rsid w:val="00DB6B5E"/>
    <w:rsid w:val="00DB7644"/>
    <w:rsid w:val="00DC34AF"/>
    <w:rsid w:val="00DC5E33"/>
    <w:rsid w:val="00DC6D0C"/>
    <w:rsid w:val="00DC7265"/>
    <w:rsid w:val="00DD101A"/>
    <w:rsid w:val="00DD7063"/>
    <w:rsid w:val="00DF7EC5"/>
    <w:rsid w:val="00E019FE"/>
    <w:rsid w:val="00E01FF5"/>
    <w:rsid w:val="00E03CA6"/>
    <w:rsid w:val="00E04BCD"/>
    <w:rsid w:val="00E074DD"/>
    <w:rsid w:val="00E2055B"/>
    <w:rsid w:val="00E25680"/>
    <w:rsid w:val="00E25EBD"/>
    <w:rsid w:val="00E36B37"/>
    <w:rsid w:val="00E400CC"/>
    <w:rsid w:val="00E42B38"/>
    <w:rsid w:val="00E43146"/>
    <w:rsid w:val="00E60236"/>
    <w:rsid w:val="00E61BC7"/>
    <w:rsid w:val="00E63BD8"/>
    <w:rsid w:val="00E649C4"/>
    <w:rsid w:val="00E65393"/>
    <w:rsid w:val="00E76569"/>
    <w:rsid w:val="00E80263"/>
    <w:rsid w:val="00E80D6D"/>
    <w:rsid w:val="00E83429"/>
    <w:rsid w:val="00E84A22"/>
    <w:rsid w:val="00E902EF"/>
    <w:rsid w:val="00E92BF5"/>
    <w:rsid w:val="00EA1AB4"/>
    <w:rsid w:val="00EB24EA"/>
    <w:rsid w:val="00EB4D9F"/>
    <w:rsid w:val="00EC11FC"/>
    <w:rsid w:val="00EC3C62"/>
    <w:rsid w:val="00EC3E09"/>
    <w:rsid w:val="00EC4B35"/>
    <w:rsid w:val="00ED1EF8"/>
    <w:rsid w:val="00EE0E22"/>
    <w:rsid w:val="00EF0973"/>
    <w:rsid w:val="00EF0ABD"/>
    <w:rsid w:val="00EF719D"/>
    <w:rsid w:val="00EF7230"/>
    <w:rsid w:val="00EF77D1"/>
    <w:rsid w:val="00F03A76"/>
    <w:rsid w:val="00F04A0A"/>
    <w:rsid w:val="00F054DC"/>
    <w:rsid w:val="00F121B9"/>
    <w:rsid w:val="00F12418"/>
    <w:rsid w:val="00F2041F"/>
    <w:rsid w:val="00F21F0A"/>
    <w:rsid w:val="00F222A9"/>
    <w:rsid w:val="00F246FC"/>
    <w:rsid w:val="00F25E8B"/>
    <w:rsid w:val="00F435C0"/>
    <w:rsid w:val="00F53067"/>
    <w:rsid w:val="00F70F0E"/>
    <w:rsid w:val="00F747AF"/>
    <w:rsid w:val="00F877A5"/>
    <w:rsid w:val="00F915EF"/>
    <w:rsid w:val="00F94445"/>
    <w:rsid w:val="00F94A5D"/>
    <w:rsid w:val="00FA55FA"/>
    <w:rsid w:val="00FA704D"/>
    <w:rsid w:val="00FB23E2"/>
    <w:rsid w:val="00FC1021"/>
    <w:rsid w:val="00FC4719"/>
    <w:rsid w:val="00FC6D32"/>
    <w:rsid w:val="00FD07F5"/>
    <w:rsid w:val="00FD3547"/>
    <w:rsid w:val="00FD380F"/>
    <w:rsid w:val="00FE3801"/>
    <w:rsid w:val="00FE4AB0"/>
    <w:rsid w:val="00FF3CFF"/>
    <w:rsid w:val="00FF4D81"/>
    <w:rsid w:val="00FF5EE0"/>
    <w:rsid w:val="00FF702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9B5D35"/>
  <w15:chartTrackingRefBased/>
  <w15:docId w15:val="{CC01A0AE-C428-EF4F-9D1D-6C07CD1F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E76569"/>
    <w:pPr>
      <w:spacing w:after="0" w:line="240" w:lineRule="auto"/>
    </w:pPr>
    <w:rPr>
      <w:rFonts w:eastAsia="Times New Roman" w:cs="Times New Roman"/>
      <w:szCs w:val="24"/>
      <w:lang w:bidi="hi-IN"/>
    </w:rPr>
  </w:style>
  <w:style w:type="paragraph" w:styleId="Heading1">
    <w:name w:val="heading 1"/>
    <w:basedOn w:val="Subtitle"/>
    <w:next w:val="Normal"/>
    <w:link w:val="Heading1Char"/>
    <w:uiPriority w:val="9"/>
    <w:qFormat/>
    <w:rsid w:val="00A5596A"/>
    <w:pPr>
      <w:framePr w:wrap="around"/>
      <w:spacing w:after="0"/>
      <w:jc w:val="center"/>
      <w:outlineLvl w:val="0"/>
    </w:pPr>
    <w:rPr>
      <w:rFonts w:eastAsiaTheme="majorEastAsia" w:cstheme="majorBidi"/>
      <w:b/>
      <w:i w:val="0"/>
      <w:color w:val="FFFFFF" w:themeColor="background1"/>
      <w:sz w:val="32"/>
      <w:szCs w:val="32"/>
    </w:rPr>
  </w:style>
  <w:style w:type="paragraph" w:styleId="Heading2">
    <w:name w:val="heading 2"/>
    <w:basedOn w:val="Normal"/>
    <w:next w:val="Normal"/>
    <w:link w:val="Heading2Char"/>
    <w:uiPriority w:val="9"/>
    <w:unhideWhenUsed/>
    <w:qFormat/>
    <w:rsid w:val="002A5055"/>
    <w:pPr>
      <w:outlineLvl w:val="1"/>
    </w:pPr>
    <w:rPr>
      <w:rFonts w:ascii="Corbel" w:hAnsi="Corbel"/>
      <w:color w:val="70AD47" w:themeColor="accent6"/>
      <w:sz w:val="32"/>
    </w:rPr>
  </w:style>
  <w:style w:type="paragraph" w:styleId="Heading3">
    <w:name w:val="heading 3"/>
    <w:basedOn w:val="Normal"/>
    <w:next w:val="Normal"/>
    <w:link w:val="Heading3Char"/>
    <w:uiPriority w:val="9"/>
    <w:semiHidden/>
    <w:unhideWhenUsed/>
    <w:qFormat/>
    <w:rsid w:val="00DD7063"/>
    <w:pPr>
      <w:keepNext/>
      <w:keepLines/>
      <w:spacing w:before="4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5F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5596A"/>
    <w:rPr>
      <w:rFonts w:ascii="Corbel" w:eastAsiaTheme="majorEastAsia" w:hAnsi="Corbel" w:cstheme="majorBidi"/>
      <w:b/>
      <w:color w:val="FFFFFF" w:themeColor="background1"/>
      <w:sz w:val="32"/>
      <w:szCs w:val="32"/>
    </w:rPr>
  </w:style>
  <w:style w:type="paragraph" w:styleId="TOCHeading">
    <w:name w:val="TOC Heading"/>
    <w:basedOn w:val="Heading1"/>
    <w:next w:val="Normal"/>
    <w:uiPriority w:val="39"/>
    <w:unhideWhenUsed/>
    <w:qFormat/>
    <w:rsid w:val="00414DAD"/>
    <w:pPr>
      <w:framePr w:wrap="around"/>
      <w:outlineLvl w:val="9"/>
    </w:pPr>
  </w:style>
  <w:style w:type="paragraph" w:styleId="TOC1">
    <w:name w:val="toc 1"/>
    <w:basedOn w:val="Normal"/>
    <w:next w:val="Normal"/>
    <w:autoRedefine/>
    <w:uiPriority w:val="39"/>
    <w:unhideWhenUsed/>
    <w:rsid w:val="001E1191"/>
    <w:pPr>
      <w:tabs>
        <w:tab w:val="right" w:leader="dot" w:pos="10070"/>
      </w:tabs>
    </w:pPr>
  </w:style>
  <w:style w:type="character" w:styleId="Hyperlink">
    <w:name w:val="Hyperlink"/>
    <w:basedOn w:val="DefaultParagraphFont"/>
    <w:uiPriority w:val="99"/>
    <w:unhideWhenUsed/>
    <w:rsid w:val="00414DAD"/>
    <w:rPr>
      <w:color w:val="0563C1" w:themeColor="hyperlink"/>
      <w:u w:val="single"/>
    </w:rPr>
  </w:style>
  <w:style w:type="paragraph" w:styleId="TOC2">
    <w:name w:val="toc 2"/>
    <w:basedOn w:val="Normal"/>
    <w:next w:val="Normal"/>
    <w:autoRedefine/>
    <w:uiPriority w:val="39"/>
    <w:unhideWhenUsed/>
    <w:rsid w:val="00105A17"/>
    <w:pPr>
      <w:spacing w:after="100"/>
      <w:ind w:left="220"/>
    </w:pPr>
    <w:rPr>
      <w:rFonts w:eastAsiaTheme="minorEastAsia"/>
    </w:rPr>
  </w:style>
  <w:style w:type="paragraph" w:styleId="TOC3">
    <w:name w:val="toc 3"/>
    <w:basedOn w:val="Normal"/>
    <w:next w:val="Normal"/>
    <w:autoRedefine/>
    <w:uiPriority w:val="39"/>
    <w:unhideWhenUsed/>
    <w:rsid w:val="00105A17"/>
    <w:pPr>
      <w:spacing w:after="100"/>
      <w:ind w:left="440"/>
    </w:pPr>
    <w:rPr>
      <w:rFonts w:eastAsiaTheme="minorEastAsia"/>
    </w:rPr>
  </w:style>
  <w:style w:type="character" w:styleId="FollowedHyperlink">
    <w:name w:val="FollowedHyperlink"/>
    <w:basedOn w:val="DefaultParagraphFont"/>
    <w:uiPriority w:val="99"/>
    <w:semiHidden/>
    <w:unhideWhenUsed/>
    <w:rsid w:val="00DC6D0C"/>
    <w:rPr>
      <w:color w:val="954F72" w:themeColor="followedHyperlink"/>
      <w:u w:val="single"/>
    </w:rPr>
  </w:style>
  <w:style w:type="paragraph" w:styleId="Header">
    <w:name w:val="header"/>
    <w:basedOn w:val="Normal"/>
    <w:link w:val="HeaderChar"/>
    <w:uiPriority w:val="99"/>
    <w:unhideWhenUsed/>
    <w:rsid w:val="009122A0"/>
    <w:pPr>
      <w:tabs>
        <w:tab w:val="center" w:pos="4680"/>
        <w:tab w:val="right" w:pos="9360"/>
      </w:tabs>
    </w:pPr>
  </w:style>
  <w:style w:type="character" w:customStyle="1" w:styleId="HeaderChar">
    <w:name w:val="Header Char"/>
    <w:basedOn w:val="DefaultParagraphFont"/>
    <w:link w:val="Header"/>
    <w:uiPriority w:val="99"/>
    <w:rsid w:val="009122A0"/>
  </w:style>
  <w:style w:type="paragraph" w:styleId="Footer">
    <w:name w:val="footer"/>
    <w:basedOn w:val="Normal"/>
    <w:link w:val="FooterChar"/>
    <w:uiPriority w:val="99"/>
    <w:unhideWhenUsed/>
    <w:rsid w:val="009122A0"/>
    <w:pPr>
      <w:tabs>
        <w:tab w:val="center" w:pos="4680"/>
        <w:tab w:val="right" w:pos="9360"/>
      </w:tabs>
    </w:pPr>
  </w:style>
  <w:style w:type="character" w:customStyle="1" w:styleId="FooterChar">
    <w:name w:val="Footer Char"/>
    <w:basedOn w:val="DefaultParagraphFont"/>
    <w:link w:val="Footer"/>
    <w:uiPriority w:val="99"/>
    <w:rsid w:val="009122A0"/>
  </w:style>
  <w:style w:type="character" w:styleId="PlaceholderText">
    <w:name w:val="Placeholder Text"/>
    <w:basedOn w:val="DefaultParagraphFont"/>
    <w:uiPriority w:val="99"/>
    <w:semiHidden/>
    <w:rsid w:val="00C72B9D"/>
    <w:rPr>
      <w:color w:val="808080"/>
    </w:rPr>
  </w:style>
  <w:style w:type="paragraph" w:styleId="Subtitle">
    <w:name w:val="Subtitle"/>
    <w:basedOn w:val="Normal"/>
    <w:next w:val="Normal"/>
    <w:link w:val="SubtitleChar"/>
    <w:uiPriority w:val="11"/>
    <w:qFormat/>
    <w:rsid w:val="009B58F2"/>
    <w:pPr>
      <w:framePr w:hSpace="180" w:wrap="around" w:vAnchor="text" w:hAnchor="margin" w:y="-55"/>
      <w:spacing w:after="240"/>
    </w:pPr>
    <w:rPr>
      <w:rFonts w:ascii="Corbel" w:hAnsi="Corbel"/>
      <w:i/>
      <w:color w:val="A6A6A6" w:themeColor="background1" w:themeShade="A6"/>
      <w:sz w:val="24"/>
    </w:rPr>
  </w:style>
  <w:style w:type="character" w:customStyle="1" w:styleId="SubtitleChar">
    <w:name w:val="Subtitle Char"/>
    <w:basedOn w:val="DefaultParagraphFont"/>
    <w:link w:val="Subtitle"/>
    <w:uiPriority w:val="11"/>
    <w:rsid w:val="009B58F2"/>
    <w:rPr>
      <w:rFonts w:ascii="Corbel" w:hAnsi="Corbel"/>
      <w:i/>
      <w:color w:val="A6A6A6" w:themeColor="background1" w:themeShade="A6"/>
      <w:sz w:val="24"/>
    </w:rPr>
  </w:style>
  <w:style w:type="paragraph" w:styleId="ListParagraph">
    <w:name w:val="List Paragraph"/>
    <w:basedOn w:val="Normal"/>
    <w:uiPriority w:val="34"/>
    <w:qFormat/>
    <w:rsid w:val="009B58F2"/>
    <w:pPr>
      <w:ind w:left="720"/>
      <w:contextualSpacing/>
    </w:pPr>
  </w:style>
  <w:style w:type="character" w:customStyle="1" w:styleId="UnresolvedMention1">
    <w:name w:val="Unresolved Mention1"/>
    <w:basedOn w:val="DefaultParagraphFont"/>
    <w:uiPriority w:val="99"/>
    <w:semiHidden/>
    <w:unhideWhenUsed/>
    <w:rsid w:val="009B58F2"/>
    <w:rPr>
      <w:color w:val="605E5C"/>
      <w:shd w:val="clear" w:color="auto" w:fill="E1DFDD"/>
    </w:rPr>
  </w:style>
  <w:style w:type="character" w:customStyle="1" w:styleId="Heading2Char">
    <w:name w:val="Heading 2 Char"/>
    <w:basedOn w:val="DefaultParagraphFont"/>
    <w:link w:val="Heading2"/>
    <w:uiPriority w:val="9"/>
    <w:rsid w:val="002A5055"/>
    <w:rPr>
      <w:rFonts w:ascii="Corbel" w:hAnsi="Corbel"/>
      <w:color w:val="70AD47" w:themeColor="accent6"/>
      <w:sz w:val="32"/>
    </w:rPr>
  </w:style>
  <w:style w:type="paragraph" w:styleId="Title">
    <w:name w:val="Title"/>
    <w:basedOn w:val="Heading2"/>
    <w:next w:val="Normal"/>
    <w:link w:val="TitleChar"/>
    <w:uiPriority w:val="10"/>
    <w:qFormat/>
    <w:rsid w:val="00B53D4B"/>
  </w:style>
  <w:style w:type="character" w:customStyle="1" w:styleId="TitleChar">
    <w:name w:val="Title Char"/>
    <w:basedOn w:val="DefaultParagraphFont"/>
    <w:link w:val="Title"/>
    <w:uiPriority w:val="10"/>
    <w:rsid w:val="00B53D4B"/>
    <w:rPr>
      <w:rFonts w:ascii="Corbel" w:eastAsiaTheme="majorEastAsia" w:hAnsi="Corbel" w:cstheme="majorBidi"/>
      <w:color w:val="00B050"/>
      <w:sz w:val="32"/>
      <w:szCs w:val="32"/>
    </w:rPr>
  </w:style>
  <w:style w:type="paragraph" w:styleId="NormalWeb">
    <w:name w:val="Normal (Web)"/>
    <w:basedOn w:val="Normal"/>
    <w:uiPriority w:val="99"/>
    <w:unhideWhenUsed/>
    <w:rsid w:val="003255BA"/>
    <w:pPr>
      <w:spacing w:before="100" w:beforeAutospacing="1" w:after="100" w:afterAutospacing="1"/>
      <w:jc w:val="both"/>
    </w:pPr>
    <w:rPr>
      <w:rFonts w:ascii="Times New Roman" w:eastAsia="Calibri" w:hAnsi="Times New Roman"/>
      <w:sz w:val="24"/>
    </w:rPr>
  </w:style>
  <w:style w:type="paragraph" w:customStyle="1" w:styleId="Default">
    <w:name w:val="Default"/>
    <w:rsid w:val="00792046"/>
    <w:pPr>
      <w:autoSpaceDE w:val="0"/>
      <w:autoSpaceDN w:val="0"/>
      <w:adjustRightInd w:val="0"/>
      <w:spacing w:after="0" w:line="240" w:lineRule="auto"/>
    </w:pPr>
    <w:rPr>
      <w:rFonts w:ascii="Times New Roman" w:hAnsi="Times New Roman" w:cs="Times New Roman"/>
      <w:color w:val="000000"/>
      <w:sz w:val="24"/>
      <w:szCs w:val="24"/>
    </w:rPr>
  </w:style>
  <w:style w:type="table" w:styleId="TableGridLight">
    <w:name w:val="Grid Table Light"/>
    <w:basedOn w:val="TableNormal"/>
    <w:uiPriority w:val="40"/>
    <w:rsid w:val="0014311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2">
    <w:name w:val="Unresolved Mention2"/>
    <w:basedOn w:val="DefaultParagraphFont"/>
    <w:uiPriority w:val="99"/>
    <w:rsid w:val="003A4CE3"/>
    <w:rPr>
      <w:color w:val="605E5C"/>
      <w:shd w:val="clear" w:color="auto" w:fill="E1DFDD"/>
    </w:rPr>
  </w:style>
  <w:style w:type="character" w:customStyle="1" w:styleId="apple-converted-space">
    <w:name w:val="apple-converted-space"/>
    <w:basedOn w:val="DefaultParagraphFont"/>
    <w:rsid w:val="00B87F9E"/>
  </w:style>
  <w:style w:type="character" w:customStyle="1" w:styleId="UnresolvedMention3">
    <w:name w:val="Unresolved Mention3"/>
    <w:basedOn w:val="DefaultParagraphFont"/>
    <w:uiPriority w:val="99"/>
    <w:rsid w:val="00BC73B0"/>
    <w:rPr>
      <w:color w:val="605E5C"/>
      <w:shd w:val="clear" w:color="auto" w:fill="E1DFDD"/>
    </w:rPr>
  </w:style>
  <w:style w:type="paragraph" w:styleId="BalloonText">
    <w:name w:val="Balloon Text"/>
    <w:basedOn w:val="Normal"/>
    <w:link w:val="BalloonTextChar"/>
    <w:uiPriority w:val="99"/>
    <w:semiHidden/>
    <w:unhideWhenUsed/>
    <w:rsid w:val="008C35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574"/>
    <w:rPr>
      <w:rFonts w:ascii="Segoe UI" w:hAnsi="Segoe UI" w:cs="Segoe UI"/>
      <w:sz w:val="18"/>
      <w:szCs w:val="18"/>
    </w:rPr>
  </w:style>
  <w:style w:type="paragraph" w:styleId="Caption">
    <w:name w:val="caption"/>
    <w:basedOn w:val="Normal"/>
    <w:next w:val="Normal"/>
    <w:uiPriority w:val="35"/>
    <w:unhideWhenUsed/>
    <w:qFormat/>
    <w:rsid w:val="005E1120"/>
    <w:pPr>
      <w:spacing w:after="200"/>
    </w:pPr>
    <w:rPr>
      <w:i/>
      <w:iCs/>
      <w:color w:val="44546A" w:themeColor="text2"/>
      <w:sz w:val="18"/>
      <w:szCs w:val="18"/>
    </w:rPr>
  </w:style>
  <w:style w:type="paragraph" w:customStyle="1" w:styleId="ydp4a01353ayiv2013752207msonormal">
    <w:name w:val="ydp4a01353ayiv2013752207msonormal"/>
    <w:basedOn w:val="Normal"/>
    <w:rsid w:val="00224F32"/>
    <w:pPr>
      <w:spacing w:before="100" w:beforeAutospacing="1" w:after="100" w:afterAutospacing="1"/>
    </w:pPr>
    <w:rPr>
      <w:rFonts w:ascii="Times New Roman" w:hAnsi="Times New Roman"/>
      <w:sz w:val="24"/>
    </w:rPr>
  </w:style>
  <w:style w:type="character" w:styleId="UnresolvedMention">
    <w:name w:val="Unresolved Mention"/>
    <w:basedOn w:val="DefaultParagraphFont"/>
    <w:uiPriority w:val="99"/>
    <w:rsid w:val="00D16E6F"/>
    <w:rPr>
      <w:color w:val="605E5C"/>
      <w:shd w:val="clear" w:color="auto" w:fill="E1DFDD"/>
    </w:rPr>
  </w:style>
  <w:style w:type="character" w:customStyle="1" w:styleId="Heading3Char">
    <w:name w:val="Heading 3 Char"/>
    <w:basedOn w:val="DefaultParagraphFont"/>
    <w:link w:val="Heading3"/>
    <w:uiPriority w:val="9"/>
    <w:semiHidden/>
    <w:rsid w:val="00DD706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178">
      <w:bodyDiv w:val="1"/>
      <w:marLeft w:val="0"/>
      <w:marRight w:val="0"/>
      <w:marTop w:val="0"/>
      <w:marBottom w:val="0"/>
      <w:divBdr>
        <w:top w:val="none" w:sz="0" w:space="0" w:color="auto"/>
        <w:left w:val="none" w:sz="0" w:space="0" w:color="auto"/>
        <w:bottom w:val="none" w:sz="0" w:space="0" w:color="auto"/>
        <w:right w:val="none" w:sz="0" w:space="0" w:color="auto"/>
      </w:divBdr>
    </w:div>
    <w:div w:id="69545285">
      <w:bodyDiv w:val="1"/>
      <w:marLeft w:val="0"/>
      <w:marRight w:val="0"/>
      <w:marTop w:val="0"/>
      <w:marBottom w:val="0"/>
      <w:divBdr>
        <w:top w:val="none" w:sz="0" w:space="0" w:color="auto"/>
        <w:left w:val="none" w:sz="0" w:space="0" w:color="auto"/>
        <w:bottom w:val="none" w:sz="0" w:space="0" w:color="auto"/>
        <w:right w:val="none" w:sz="0" w:space="0" w:color="auto"/>
      </w:divBdr>
    </w:div>
    <w:div w:id="191119010">
      <w:bodyDiv w:val="1"/>
      <w:marLeft w:val="0"/>
      <w:marRight w:val="0"/>
      <w:marTop w:val="0"/>
      <w:marBottom w:val="0"/>
      <w:divBdr>
        <w:top w:val="none" w:sz="0" w:space="0" w:color="auto"/>
        <w:left w:val="none" w:sz="0" w:space="0" w:color="auto"/>
        <w:bottom w:val="none" w:sz="0" w:space="0" w:color="auto"/>
        <w:right w:val="none" w:sz="0" w:space="0" w:color="auto"/>
      </w:divBdr>
    </w:div>
    <w:div w:id="200869372">
      <w:bodyDiv w:val="1"/>
      <w:marLeft w:val="0"/>
      <w:marRight w:val="0"/>
      <w:marTop w:val="0"/>
      <w:marBottom w:val="0"/>
      <w:divBdr>
        <w:top w:val="none" w:sz="0" w:space="0" w:color="auto"/>
        <w:left w:val="none" w:sz="0" w:space="0" w:color="auto"/>
        <w:bottom w:val="none" w:sz="0" w:space="0" w:color="auto"/>
        <w:right w:val="none" w:sz="0" w:space="0" w:color="auto"/>
      </w:divBdr>
    </w:div>
    <w:div w:id="272634446">
      <w:bodyDiv w:val="1"/>
      <w:marLeft w:val="0"/>
      <w:marRight w:val="0"/>
      <w:marTop w:val="0"/>
      <w:marBottom w:val="0"/>
      <w:divBdr>
        <w:top w:val="none" w:sz="0" w:space="0" w:color="auto"/>
        <w:left w:val="none" w:sz="0" w:space="0" w:color="auto"/>
        <w:bottom w:val="none" w:sz="0" w:space="0" w:color="auto"/>
        <w:right w:val="none" w:sz="0" w:space="0" w:color="auto"/>
      </w:divBdr>
    </w:div>
    <w:div w:id="287014050">
      <w:bodyDiv w:val="1"/>
      <w:marLeft w:val="0"/>
      <w:marRight w:val="0"/>
      <w:marTop w:val="0"/>
      <w:marBottom w:val="0"/>
      <w:divBdr>
        <w:top w:val="none" w:sz="0" w:space="0" w:color="auto"/>
        <w:left w:val="none" w:sz="0" w:space="0" w:color="auto"/>
        <w:bottom w:val="none" w:sz="0" w:space="0" w:color="auto"/>
        <w:right w:val="none" w:sz="0" w:space="0" w:color="auto"/>
      </w:divBdr>
    </w:div>
    <w:div w:id="291401627">
      <w:bodyDiv w:val="1"/>
      <w:marLeft w:val="0"/>
      <w:marRight w:val="0"/>
      <w:marTop w:val="0"/>
      <w:marBottom w:val="0"/>
      <w:divBdr>
        <w:top w:val="none" w:sz="0" w:space="0" w:color="auto"/>
        <w:left w:val="none" w:sz="0" w:space="0" w:color="auto"/>
        <w:bottom w:val="none" w:sz="0" w:space="0" w:color="auto"/>
        <w:right w:val="none" w:sz="0" w:space="0" w:color="auto"/>
      </w:divBdr>
    </w:div>
    <w:div w:id="302083134">
      <w:bodyDiv w:val="1"/>
      <w:marLeft w:val="0"/>
      <w:marRight w:val="0"/>
      <w:marTop w:val="0"/>
      <w:marBottom w:val="0"/>
      <w:divBdr>
        <w:top w:val="none" w:sz="0" w:space="0" w:color="auto"/>
        <w:left w:val="none" w:sz="0" w:space="0" w:color="auto"/>
        <w:bottom w:val="none" w:sz="0" w:space="0" w:color="auto"/>
        <w:right w:val="none" w:sz="0" w:space="0" w:color="auto"/>
      </w:divBdr>
      <w:divsChild>
        <w:div w:id="203761990">
          <w:marLeft w:val="0"/>
          <w:marRight w:val="0"/>
          <w:marTop w:val="0"/>
          <w:marBottom w:val="0"/>
          <w:divBdr>
            <w:top w:val="none" w:sz="0" w:space="0" w:color="auto"/>
            <w:left w:val="none" w:sz="0" w:space="0" w:color="auto"/>
            <w:bottom w:val="none" w:sz="0" w:space="0" w:color="auto"/>
            <w:right w:val="none" w:sz="0" w:space="0" w:color="auto"/>
          </w:divBdr>
        </w:div>
        <w:div w:id="2024892349">
          <w:marLeft w:val="0"/>
          <w:marRight w:val="0"/>
          <w:marTop w:val="0"/>
          <w:marBottom w:val="0"/>
          <w:divBdr>
            <w:top w:val="none" w:sz="0" w:space="0" w:color="auto"/>
            <w:left w:val="none" w:sz="0" w:space="0" w:color="auto"/>
            <w:bottom w:val="none" w:sz="0" w:space="0" w:color="auto"/>
            <w:right w:val="none" w:sz="0" w:space="0" w:color="auto"/>
          </w:divBdr>
        </w:div>
        <w:div w:id="1509910242">
          <w:marLeft w:val="0"/>
          <w:marRight w:val="0"/>
          <w:marTop w:val="0"/>
          <w:marBottom w:val="0"/>
          <w:divBdr>
            <w:top w:val="none" w:sz="0" w:space="0" w:color="auto"/>
            <w:left w:val="none" w:sz="0" w:space="0" w:color="auto"/>
            <w:bottom w:val="none" w:sz="0" w:space="0" w:color="auto"/>
            <w:right w:val="none" w:sz="0" w:space="0" w:color="auto"/>
          </w:divBdr>
        </w:div>
        <w:div w:id="37780893">
          <w:marLeft w:val="0"/>
          <w:marRight w:val="0"/>
          <w:marTop w:val="0"/>
          <w:marBottom w:val="0"/>
          <w:divBdr>
            <w:top w:val="none" w:sz="0" w:space="0" w:color="auto"/>
            <w:left w:val="none" w:sz="0" w:space="0" w:color="auto"/>
            <w:bottom w:val="none" w:sz="0" w:space="0" w:color="auto"/>
            <w:right w:val="none" w:sz="0" w:space="0" w:color="auto"/>
          </w:divBdr>
        </w:div>
        <w:div w:id="641621983">
          <w:marLeft w:val="0"/>
          <w:marRight w:val="0"/>
          <w:marTop w:val="0"/>
          <w:marBottom w:val="0"/>
          <w:divBdr>
            <w:top w:val="none" w:sz="0" w:space="0" w:color="auto"/>
            <w:left w:val="none" w:sz="0" w:space="0" w:color="auto"/>
            <w:bottom w:val="none" w:sz="0" w:space="0" w:color="auto"/>
            <w:right w:val="none" w:sz="0" w:space="0" w:color="auto"/>
          </w:divBdr>
        </w:div>
        <w:div w:id="210190901">
          <w:marLeft w:val="0"/>
          <w:marRight w:val="0"/>
          <w:marTop w:val="0"/>
          <w:marBottom w:val="0"/>
          <w:divBdr>
            <w:top w:val="none" w:sz="0" w:space="0" w:color="auto"/>
            <w:left w:val="none" w:sz="0" w:space="0" w:color="auto"/>
            <w:bottom w:val="none" w:sz="0" w:space="0" w:color="auto"/>
            <w:right w:val="none" w:sz="0" w:space="0" w:color="auto"/>
          </w:divBdr>
        </w:div>
      </w:divsChild>
    </w:div>
    <w:div w:id="407270923">
      <w:bodyDiv w:val="1"/>
      <w:marLeft w:val="0"/>
      <w:marRight w:val="0"/>
      <w:marTop w:val="0"/>
      <w:marBottom w:val="0"/>
      <w:divBdr>
        <w:top w:val="none" w:sz="0" w:space="0" w:color="auto"/>
        <w:left w:val="none" w:sz="0" w:space="0" w:color="auto"/>
        <w:bottom w:val="none" w:sz="0" w:space="0" w:color="auto"/>
        <w:right w:val="none" w:sz="0" w:space="0" w:color="auto"/>
      </w:divBdr>
    </w:div>
    <w:div w:id="453450869">
      <w:bodyDiv w:val="1"/>
      <w:marLeft w:val="0"/>
      <w:marRight w:val="0"/>
      <w:marTop w:val="0"/>
      <w:marBottom w:val="0"/>
      <w:divBdr>
        <w:top w:val="none" w:sz="0" w:space="0" w:color="auto"/>
        <w:left w:val="none" w:sz="0" w:space="0" w:color="auto"/>
        <w:bottom w:val="none" w:sz="0" w:space="0" w:color="auto"/>
        <w:right w:val="none" w:sz="0" w:space="0" w:color="auto"/>
      </w:divBdr>
    </w:div>
    <w:div w:id="496579749">
      <w:bodyDiv w:val="1"/>
      <w:marLeft w:val="0"/>
      <w:marRight w:val="0"/>
      <w:marTop w:val="0"/>
      <w:marBottom w:val="0"/>
      <w:divBdr>
        <w:top w:val="none" w:sz="0" w:space="0" w:color="auto"/>
        <w:left w:val="none" w:sz="0" w:space="0" w:color="auto"/>
        <w:bottom w:val="none" w:sz="0" w:space="0" w:color="auto"/>
        <w:right w:val="none" w:sz="0" w:space="0" w:color="auto"/>
      </w:divBdr>
    </w:div>
    <w:div w:id="528418771">
      <w:bodyDiv w:val="1"/>
      <w:marLeft w:val="0"/>
      <w:marRight w:val="0"/>
      <w:marTop w:val="0"/>
      <w:marBottom w:val="0"/>
      <w:divBdr>
        <w:top w:val="none" w:sz="0" w:space="0" w:color="auto"/>
        <w:left w:val="none" w:sz="0" w:space="0" w:color="auto"/>
        <w:bottom w:val="none" w:sz="0" w:space="0" w:color="auto"/>
        <w:right w:val="none" w:sz="0" w:space="0" w:color="auto"/>
      </w:divBdr>
    </w:div>
    <w:div w:id="536234683">
      <w:bodyDiv w:val="1"/>
      <w:marLeft w:val="0"/>
      <w:marRight w:val="0"/>
      <w:marTop w:val="0"/>
      <w:marBottom w:val="0"/>
      <w:divBdr>
        <w:top w:val="none" w:sz="0" w:space="0" w:color="auto"/>
        <w:left w:val="none" w:sz="0" w:space="0" w:color="auto"/>
        <w:bottom w:val="none" w:sz="0" w:space="0" w:color="auto"/>
        <w:right w:val="none" w:sz="0" w:space="0" w:color="auto"/>
      </w:divBdr>
    </w:div>
    <w:div w:id="631793824">
      <w:bodyDiv w:val="1"/>
      <w:marLeft w:val="0"/>
      <w:marRight w:val="0"/>
      <w:marTop w:val="0"/>
      <w:marBottom w:val="0"/>
      <w:divBdr>
        <w:top w:val="none" w:sz="0" w:space="0" w:color="auto"/>
        <w:left w:val="none" w:sz="0" w:space="0" w:color="auto"/>
        <w:bottom w:val="none" w:sz="0" w:space="0" w:color="auto"/>
        <w:right w:val="none" w:sz="0" w:space="0" w:color="auto"/>
      </w:divBdr>
    </w:div>
    <w:div w:id="664819258">
      <w:bodyDiv w:val="1"/>
      <w:marLeft w:val="0"/>
      <w:marRight w:val="0"/>
      <w:marTop w:val="0"/>
      <w:marBottom w:val="0"/>
      <w:divBdr>
        <w:top w:val="none" w:sz="0" w:space="0" w:color="auto"/>
        <w:left w:val="none" w:sz="0" w:space="0" w:color="auto"/>
        <w:bottom w:val="none" w:sz="0" w:space="0" w:color="auto"/>
        <w:right w:val="none" w:sz="0" w:space="0" w:color="auto"/>
      </w:divBdr>
    </w:div>
    <w:div w:id="680400017">
      <w:bodyDiv w:val="1"/>
      <w:marLeft w:val="0"/>
      <w:marRight w:val="0"/>
      <w:marTop w:val="0"/>
      <w:marBottom w:val="0"/>
      <w:divBdr>
        <w:top w:val="none" w:sz="0" w:space="0" w:color="auto"/>
        <w:left w:val="none" w:sz="0" w:space="0" w:color="auto"/>
        <w:bottom w:val="none" w:sz="0" w:space="0" w:color="auto"/>
        <w:right w:val="none" w:sz="0" w:space="0" w:color="auto"/>
      </w:divBdr>
    </w:div>
    <w:div w:id="711805105">
      <w:bodyDiv w:val="1"/>
      <w:marLeft w:val="0"/>
      <w:marRight w:val="0"/>
      <w:marTop w:val="0"/>
      <w:marBottom w:val="0"/>
      <w:divBdr>
        <w:top w:val="none" w:sz="0" w:space="0" w:color="auto"/>
        <w:left w:val="none" w:sz="0" w:space="0" w:color="auto"/>
        <w:bottom w:val="none" w:sz="0" w:space="0" w:color="auto"/>
        <w:right w:val="none" w:sz="0" w:space="0" w:color="auto"/>
      </w:divBdr>
    </w:div>
    <w:div w:id="739251186">
      <w:bodyDiv w:val="1"/>
      <w:marLeft w:val="0"/>
      <w:marRight w:val="0"/>
      <w:marTop w:val="0"/>
      <w:marBottom w:val="0"/>
      <w:divBdr>
        <w:top w:val="none" w:sz="0" w:space="0" w:color="auto"/>
        <w:left w:val="none" w:sz="0" w:space="0" w:color="auto"/>
        <w:bottom w:val="none" w:sz="0" w:space="0" w:color="auto"/>
        <w:right w:val="none" w:sz="0" w:space="0" w:color="auto"/>
      </w:divBdr>
    </w:div>
    <w:div w:id="766541008">
      <w:bodyDiv w:val="1"/>
      <w:marLeft w:val="0"/>
      <w:marRight w:val="0"/>
      <w:marTop w:val="0"/>
      <w:marBottom w:val="0"/>
      <w:divBdr>
        <w:top w:val="none" w:sz="0" w:space="0" w:color="auto"/>
        <w:left w:val="none" w:sz="0" w:space="0" w:color="auto"/>
        <w:bottom w:val="none" w:sz="0" w:space="0" w:color="auto"/>
        <w:right w:val="none" w:sz="0" w:space="0" w:color="auto"/>
      </w:divBdr>
      <w:divsChild>
        <w:div w:id="1018044332">
          <w:marLeft w:val="0"/>
          <w:marRight w:val="0"/>
          <w:marTop w:val="0"/>
          <w:marBottom w:val="0"/>
          <w:divBdr>
            <w:top w:val="none" w:sz="0" w:space="0" w:color="auto"/>
            <w:left w:val="none" w:sz="0" w:space="0" w:color="auto"/>
            <w:bottom w:val="none" w:sz="0" w:space="0" w:color="auto"/>
            <w:right w:val="none" w:sz="0" w:space="0" w:color="auto"/>
          </w:divBdr>
        </w:div>
        <w:div w:id="329480568">
          <w:marLeft w:val="0"/>
          <w:marRight w:val="0"/>
          <w:marTop w:val="0"/>
          <w:marBottom w:val="0"/>
          <w:divBdr>
            <w:top w:val="none" w:sz="0" w:space="0" w:color="auto"/>
            <w:left w:val="none" w:sz="0" w:space="0" w:color="auto"/>
            <w:bottom w:val="none" w:sz="0" w:space="0" w:color="auto"/>
            <w:right w:val="none" w:sz="0" w:space="0" w:color="auto"/>
          </w:divBdr>
        </w:div>
        <w:div w:id="314143035">
          <w:marLeft w:val="0"/>
          <w:marRight w:val="0"/>
          <w:marTop w:val="0"/>
          <w:marBottom w:val="0"/>
          <w:divBdr>
            <w:top w:val="none" w:sz="0" w:space="0" w:color="auto"/>
            <w:left w:val="none" w:sz="0" w:space="0" w:color="auto"/>
            <w:bottom w:val="none" w:sz="0" w:space="0" w:color="auto"/>
            <w:right w:val="none" w:sz="0" w:space="0" w:color="auto"/>
          </w:divBdr>
        </w:div>
        <w:div w:id="236716478">
          <w:marLeft w:val="0"/>
          <w:marRight w:val="0"/>
          <w:marTop w:val="0"/>
          <w:marBottom w:val="0"/>
          <w:divBdr>
            <w:top w:val="none" w:sz="0" w:space="0" w:color="auto"/>
            <w:left w:val="none" w:sz="0" w:space="0" w:color="auto"/>
            <w:bottom w:val="none" w:sz="0" w:space="0" w:color="auto"/>
            <w:right w:val="none" w:sz="0" w:space="0" w:color="auto"/>
          </w:divBdr>
        </w:div>
        <w:div w:id="1728992099">
          <w:marLeft w:val="0"/>
          <w:marRight w:val="0"/>
          <w:marTop w:val="0"/>
          <w:marBottom w:val="0"/>
          <w:divBdr>
            <w:top w:val="none" w:sz="0" w:space="0" w:color="auto"/>
            <w:left w:val="none" w:sz="0" w:space="0" w:color="auto"/>
            <w:bottom w:val="none" w:sz="0" w:space="0" w:color="auto"/>
            <w:right w:val="none" w:sz="0" w:space="0" w:color="auto"/>
          </w:divBdr>
        </w:div>
      </w:divsChild>
    </w:div>
    <w:div w:id="780999827">
      <w:bodyDiv w:val="1"/>
      <w:marLeft w:val="0"/>
      <w:marRight w:val="0"/>
      <w:marTop w:val="0"/>
      <w:marBottom w:val="0"/>
      <w:divBdr>
        <w:top w:val="none" w:sz="0" w:space="0" w:color="auto"/>
        <w:left w:val="none" w:sz="0" w:space="0" w:color="auto"/>
        <w:bottom w:val="none" w:sz="0" w:space="0" w:color="auto"/>
        <w:right w:val="none" w:sz="0" w:space="0" w:color="auto"/>
      </w:divBdr>
    </w:div>
    <w:div w:id="832380724">
      <w:bodyDiv w:val="1"/>
      <w:marLeft w:val="0"/>
      <w:marRight w:val="0"/>
      <w:marTop w:val="0"/>
      <w:marBottom w:val="0"/>
      <w:divBdr>
        <w:top w:val="none" w:sz="0" w:space="0" w:color="auto"/>
        <w:left w:val="none" w:sz="0" w:space="0" w:color="auto"/>
        <w:bottom w:val="none" w:sz="0" w:space="0" w:color="auto"/>
        <w:right w:val="none" w:sz="0" w:space="0" w:color="auto"/>
      </w:divBdr>
    </w:div>
    <w:div w:id="867178366">
      <w:bodyDiv w:val="1"/>
      <w:marLeft w:val="0"/>
      <w:marRight w:val="0"/>
      <w:marTop w:val="0"/>
      <w:marBottom w:val="0"/>
      <w:divBdr>
        <w:top w:val="none" w:sz="0" w:space="0" w:color="auto"/>
        <w:left w:val="none" w:sz="0" w:space="0" w:color="auto"/>
        <w:bottom w:val="none" w:sz="0" w:space="0" w:color="auto"/>
        <w:right w:val="none" w:sz="0" w:space="0" w:color="auto"/>
      </w:divBdr>
    </w:div>
    <w:div w:id="910389352">
      <w:bodyDiv w:val="1"/>
      <w:marLeft w:val="0"/>
      <w:marRight w:val="0"/>
      <w:marTop w:val="0"/>
      <w:marBottom w:val="0"/>
      <w:divBdr>
        <w:top w:val="none" w:sz="0" w:space="0" w:color="auto"/>
        <w:left w:val="none" w:sz="0" w:space="0" w:color="auto"/>
        <w:bottom w:val="none" w:sz="0" w:space="0" w:color="auto"/>
        <w:right w:val="none" w:sz="0" w:space="0" w:color="auto"/>
      </w:divBdr>
    </w:div>
    <w:div w:id="924610205">
      <w:bodyDiv w:val="1"/>
      <w:marLeft w:val="0"/>
      <w:marRight w:val="0"/>
      <w:marTop w:val="0"/>
      <w:marBottom w:val="0"/>
      <w:divBdr>
        <w:top w:val="none" w:sz="0" w:space="0" w:color="auto"/>
        <w:left w:val="none" w:sz="0" w:space="0" w:color="auto"/>
        <w:bottom w:val="none" w:sz="0" w:space="0" w:color="auto"/>
        <w:right w:val="none" w:sz="0" w:space="0" w:color="auto"/>
      </w:divBdr>
    </w:div>
    <w:div w:id="1017926552">
      <w:bodyDiv w:val="1"/>
      <w:marLeft w:val="0"/>
      <w:marRight w:val="0"/>
      <w:marTop w:val="0"/>
      <w:marBottom w:val="0"/>
      <w:divBdr>
        <w:top w:val="none" w:sz="0" w:space="0" w:color="auto"/>
        <w:left w:val="none" w:sz="0" w:space="0" w:color="auto"/>
        <w:bottom w:val="none" w:sz="0" w:space="0" w:color="auto"/>
        <w:right w:val="none" w:sz="0" w:space="0" w:color="auto"/>
      </w:divBdr>
    </w:div>
    <w:div w:id="1031808961">
      <w:bodyDiv w:val="1"/>
      <w:marLeft w:val="0"/>
      <w:marRight w:val="0"/>
      <w:marTop w:val="0"/>
      <w:marBottom w:val="0"/>
      <w:divBdr>
        <w:top w:val="none" w:sz="0" w:space="0" w:color="auto"/>
        <w:left w:val="none" w:sz="0" w:space="0" w:color="auto"/>
        <w:bottom w:val="none" w:sz="0" w:space="0" w:color="auto"/>
        <w:right w:val="none" w:sz="0" w:space="0" w:color="auto"/>
      </w:divBdr>
    </w:div>
    <w:div w:id="1034883625">
      <w:bodyDiv w:val="1"/>
      <w:marLeft w:val="0"/>
      <w:marRight w:val="0"/>
      <w:marTop w:val="0"/>
      <w:marBottom w:val="0"/>
      <w:divBdr>
        <w:top w:val="none" w:sz="0" w:space="0" w:color="auto"/>
        <w:left w:val="none" w:sz="0" w:space="0" w:color="auto"/>
        <w:bottom w:val="none" w:sz="0" w:space="0" w:color="auto"/>
        <w:right w:val="none" w:sz="0" w:space="0" w:color="auto"/>
      </w:divBdr>
    </w:div>
    <w:div w:id="1050573229">
      <w:bodyDiv w:val="1"/>
      <w:marLeft w:val="0"/>
      <w:marRight w:val="0"/>
      <w:marTop w:val="0"/>
      <w:marBottom w:val="0"/>
      <w:divBdr>
        <w:top w:val="none" w:sz="0" w:space="0" w:color="auto"/>
        <w:left w:val="none" w:sz="0" w:space="0" w:color="auto"/>
        <w:bottom w:val="none" w:sz="0" w:space="0" w:color="auto"/>
        <w:right w:val="none" w:sz="0" w:space="0" w:color="auto"/>
      </w:divBdr>
    </w:div>
    <w:div w:id="1089035641">
      <w:bodyDiv w:val="1"/>
      <w:marLeft w:val="0"/>
      <w:marRight w:val="0"/>
      <w:marTop w:val="0"/>
      <w:marBottom w:val="0"/>
      <w:divBdr>
        <w:top w:val="none" w:sz="0" w:space="0" w:color="auto"/>
        <w:left w:val="none" w:sz="0" w:space="0" w:color="auto"/>
        <w:bottom w:val="none" w:sz="0" w:space="0" w:color="auto"/>
        <w:right w:val="none" w:sz="0" w:space="0" w:color="auto"/>
      </w:divBdr>
    </w:div>
    <w:div w:id="1098871911">
      <w:bodyDiv w:val="1"/>
      <w:marLeft w:val="0"/>
      <w:marRight w:val="0"/>
      <w:marTop w:val="0"/>
      <w:marBottom w:val="0"/>
      <w:divBdr>
        <w:top w:val="none" w:sz="0" w:space="0" w:color="auto"/>
        <w:left w:val="none" w:sz="0" w:space="0" w:color="auto"/>
        <w:bottom w:val="none" w:sz="0" w:space="0" w:color="auto"/>
        <w:right w:val="none" w:sz="0" w:space="0" w:color="auto"/>
      </w:divBdr>
    </w:div>
    <w:div w:id="1102385415">
      <w:bodyDiv w:val="1"/>
      <w:marLeft w:val="0"/>
      <w:marRight w:val="0"/>
      <w:marTop w:val="0"/>
      <w:marBottom w:val="0"/>
      <w:divBdr>
        <w:top w:val="none" w:sz="0" w:space="0" w:color="auto"/>
        <w:left w:val="none" w:sz="0" w:space="0" w:color="auto"/>
        <w:bottom w:val="none" w:sz="0" w:space="0" w:color="auto"/>
        <w:right w:val="none" w:sz="0" w:space="0" w:color="auto"/>
      </w:divBdr>
    </w:div>
    <w:div w:id="1236667684">
      <w:bodyDiv w:val="1"/>
      <w:marLeft w:val="0"/>
      <w:marRight w:val="0"/>
      <w:marTop w:val="0"/>
      <w:marBottom w:val="0"/>
      <w:divBdr>
        <w:top w:val="none" w:sz="0" w:space="0" w:color="auto"/>
        <w:left w:val="none" w:sz="0" w:space="0" w:color="auto"/>
        <w:bottom w:val="none" w:sz="0" w:space="0" w:color="auto"/>
        <w:right w:val="none" w:sz="0" w:space="0" w:color="auto"/>
      </w:divBdr>
    </w:div>
    <w:div w:id="1254171115">
      <w:bodyDiv w:val="1"/>
      <w:marLeft w:val="0"/>
      <w:marRight w:val="0"/>
      <w:marTop w:val="0"/>
      <w:marBottom w:val="0"/>
      <w:divBdr>
        <w:top w:val="none" w:sz="0" w:space="0" w:color="auto"/>
        <w:left w:val="none" w:sz="0" w:space="0" w:color="auto"/>
        <w:bottom w:val="none" w:sz="0" w:space="0" w:color="auto"/>
        <w:right w:val="none" w:sz="0" w:space="0" w:color="auto"/>
      </w:divBdr>
    </w:div>
    <w:div w:id="1432553840">
      <w:bodyDiv w:val="1"/>
      <w:marLeft w:val="0"/>
      <w:marRight w:val="0"/>
      <w:marTop w:val="0"/>
      <w:marBottom w:val="0"/>
      <w:divBdr>
        <w:top w:val="none" w:sz="0" w:space="0" w:color="auto"/>
        <w:left w:val="none" w:sz="0" w:space="0" w:color="auto"/>
        <w:bottom w:val="none" w:sz="0" w:space="0" w:color="auto"/>
        <w:right w:val="none" w:sz="0" w:space="0" w:color="auto"/>
      </w:divBdr>
    </w:div>
    <w:div w:id="1477797052">
      <w:bodyDiv w:val="1"/>
      <w:marLeft w:val="0"/>
      <w:marRight w:val="0"/>
      <w:marTop w:val="0"/>
      <w:marBottom w:val="0"/>
      <w:divBdr>
        <w:top w:val="none" w:sz="0" w:space="0" w:color="auto"/>
        <w:left w:val="none" w:sz="0" w:space="0" w:color="auto"/>
        <w:bottom w:val="none" w:sz="0" w:space="0" w:color="auto"/>
        <w:right w:val="none" w:sz="0" w:space="0" w:color="auto"/>
      </w:divBdr>
    </w:div>
    <w:div w:id="1484546270">
      <w:bodyDiv w:val="1"/>
      <w:marLeft w:val="0"/>
      <w:marRight w:val="0"/>
      <w:marTop w:val="0"/>
      <w:marBottom w:val="0"/>
      <w:divBdr>
        <w:top w:val="none" w:sz="0" w:space="0" w:color="auto"/>
        <w:left w:val="none" w:sz="0" w:space="0" w:color="auto"/>
        <w:bottom w:val="none" w:sz="0" w:space="0" w:color="auto"/>
        <w:right w:val="none" w:sz="0" w:space="0" w:color="auto"/>
      </w:divBdr>
    </w:div>
    <w:div w:id="1486244374">
      <w:bodyDiv w:val="1"/>
      <w:marLeft w:val="0"/>
      <w:marRight w:val="0"/>
      <w:marTop w:val="0"/>
      <w:marBottom w:val="0"/>
      <w:divBdr>
        <w:top w:val="none" w:sz="0" w:space="0" w:color="auto"/>
        <w:left w:val="none" w:sz="0" w:space="0" w:color="auto"/>
        <w:bottom w:val="none" w:sz="0" w:space="0" w:color="auto"/>
        <w:right w:val="none" w:sz="0" w:space="0" w:color="auto"/>
      </w:divBdr>
    </w:div>
    <w:div w:id="1543983270">
      <w:bodyDiv w:val="1"/>
      <w:marLeft w:val="0"/>
      <w:marRight w:val="0"/>
      <w:marTop w:val="0"/>
      <w:marBottom w:val="0"/>
      <w:divBdr>
        <w:top w:val="none" w:sz="0" w:space="0" w:color="auto"/>
        <w:left w:val="none" w:sz="0" w:space="0" w:color="auto"/>
        <w:bottom w:val="none" w:sz="0" w:space="0" w:color="auto"/>
        <w:right w:val="none" w:sz="0" w:space="0" w:color="auto"/>
      </w:divBdr>
    </w:div>
    <w:div w:id="1627813853">
      <w:bodyDiv w:val="1"/>
      <w:marLeft w:val="0"/>
      <w:marRight w:val="0"/>
      <w:marTop w:val="0"/>
      <w:marBottom w:val="0"/>
      <w:divBdr>
        <w:top w:val="none" w:sz="0" w:space="0" w:color="auto"/>
        <w:left w:val="none" w:sz="0" w:space="0" w:color="auto"/>
        <w:bottom w:val="none" w:sz="0" w:space="0" w:color="auto"/>
        <w:right w:val="none" w:sz="0" w:space="0" w:color="auto"/>
      </w:divBdr>
    </w:div>
    <w:div w:id="1681590777">
      <w:bodyDiv w:val="1"/>
      <w:marLeft w:val="0"/>
      <w:marRight w:val="0"/>
      <w:marTop w:val="0"/>
      <w:marBottom w:val="0"/>
      <w:divBdr>
        <w:top w:val="none" w:sz="0" w:space="0" w:color="auto"/>
        <w:left w:val="none" w:sz="0" w:space="0" w:color="auto"/>
        <w:bottom w:val="none" w:sz="0" w:space="0" w:color="auto"/>
        <w:right w:val="none" w:sz="0" w:space="0" w:color="auto"/>
      </w:divBdr>
    </w:div>
    <w:div w:id="1890653472">
      <w:bodyDiv w:val="1"/>
      <w:marLeft w:val="0"/>
      <w:marRight w:val="0"/>
      <w:marTop w:val="0"/>
      <w:marBottom w:val="0"/>
      <w:divBdr>
        <w:top w:val="none" w:sz="0" w:space="0" w:color="auto"/>
        <w:left w:val="none" w:sz="0" w:space="0" w:color="auto"/>
        <w:bottom w:val="none" w:sz="0" w:space="0" w:color="auto"/>
        <w:right w:val="none" w:sz="0" w:space="0" w:color="auto"/>
      </w:divBdr>
    </w:div>
    <w:div w:id="1920433508">
      <w:bodyDiv w:val="1"/>
      <w:marLeft w:val="0"/>
      <w:marRight w:val="0"/>
      <w:marTop w:val="0"/>
      <w:marBottom w:val="0"/>
      <w:divBdr>
        <w:top w:val="none" w:sz="0" w:space="0" w:color="auto"/>
        <w:left w:val="none" w:sz="0" w:space="0" w:color="auto"/>
        <w:bottom w:val="none" w:sz="0" w:space="0" w:color="auto"/>
        <w:right w:val="none" w:sz="0" w:space="0" w:color="auto"/>
      </w:divBdr>
    </w:div>
    <w:div w:id="1945192140">
      <w:bodyDiv w:val="1"/>
      <w:marLeft w:val="0"/>
      <w:marRight w:val="0"/>
      <w:marTop w:val="0"/>
      <w:marBottom w:val="0"/>
      <w:divBdr>
        <w:top w:val="none" w:sz="0" w:space="0" w:color="auto"/>
        <w:left w:val="none" w:sz="0" w:space="0" w:color="auto"/>
        <w:bottom w:val="none" w:sz="0" w:space="0" w:color="auto"/>
        <w:right w:val="none" w:sz="0" w:space="0" w:color="auto"/>
      </w:divBdr>
    </w:div>
    <w:div w:id="2056539090">
      <w:bodyDiv w:val="1"/>
      <w:marLeft w:val="0"/>
      <w:marRight w:val="0"/>
      <w:marTop w:val="0"/>
      <w:marBottom w:val="0"/>
      <w:divBdr>
        <w:top w:val="none" w:sz="0" w:space="0" w:color="auto"/>
        <w:left w:val="none" w:sz="0" w:space="0" w:color="auto"/>
        <w:bottom w:val="none" w:sz="0" w:space="0" w:color="auto"/>
        <w:right w:val="none" w:sz="0" w:space="0" w:color="auto"/>
      </w:divBdr>
    </w:div>
    <w:div w:id="2075662516">
      <w:bodyDiv w:val="1"/>
      <w:marLeft w:val="0"/>
      <w:marRight w:val="0"/>
      <w:marTop w:val="0"/>
      <w:marBottom w:val="0"/>
      <w:divBdr>
        <w:top w:val="none" w:sz="0" w:space="0" w:color="auto"/>
        <w:left w:val="none" w:sz="0" w:space="0" w:color="auto"/>
        <w:bottom w:val="none" w:sz="0" w:space="0" w:color="auto"/>
        <w:right w:val="none" w:sz="0" w:space="0" w:color="auto"/>
      </w:divBdr>
    </w:div>
    <w:div w:id="214141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hyperlink" Target="https://www.nihlibrary.nih.gov/library-email-news-signup"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4.png"/><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3.png"/><Relationship Id="rId45"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s://itservicedesk.nih.gov" TargetMode="External"/><Relationship Id="rId36" Type="http://schemas.openxmlformats.org/officeDocument/2006/relationships/image" Target="media/image20.jpeg"/><Relationship Id="rId49"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hyperlink" Target="http://thefdp.org/default/committees/research-compliance/data-stewardship/" TargetMode="External"/><Relationship Id="rId31" Type="http://schemas.openxmlformats.org/officeDocument/2006/relationships/hyperlink" Target="https://techtransfer.cancer.gov/aboutttc/ambassadors" TargetMode="External"/><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s://spweb.od.nih.gov/OTT/DTDT/Training/Forms/AllItems.aspx?RootFolder=%2FOTT%2FDTDT%2FTraining%2FSharePoint%20Migration&amp;FolderCTID=0x01200038566498B748034690A72BB6660501CE&amp;View=%7B1EBB41F3-5668-4DF5-BCA6-948DDD33BCA3%7D&amp;InitialTabId=Ribbon%2ERead&amp;VisibilityContext=WSSTabPersistence"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1.gif"/><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cid:image001.png@01D5F210.983C39E0" TargetMode="Externa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hyperlink" Target="https://science.sciencemag.org/content/367/6474/150"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5FA0B-43AF-48D2-9EE0-40BEE8B2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14</Pages>
  <Words>4220</Words>
  <Characters>24055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Sapient IT</Company>
  <LinksUpToDate>false</LinksUpToDate>
  <CharactersWithSpaces>28219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Vismer</dc:creator>
  <cp:keywords/>
  <dc:description/>
  <cp:lastModifiedBy>Richelle Holnick</cp:lastModifiedBy>
  <cp:revision>10</cp:revision>
  <cp:lastPrinted>2019-04-24T12:15:00Z</cp:lastPrinted>
  <dcterms:created xsi:type="dcterms:W3CDTF">2020-05-26T19:26:00Z</dcterms:created>
  <dcterms:modified xsi:type="dcterms:W3CDTF">2023-05-04T18:46:00Z</dcterms:modified>
</cp:coreProperties>
</file>