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DB" w:rsidRPr="00AF5EDB" w:rsidRDefault="00AF5EDB" w:rsidP="00AF5EDB">
      <w:pPr>
        <w:pStyle w:val="Default"/>
        <w:jc w:val="center"/>
        <w:rPr>
          <w:b/>
          <w:bCs/>
        </w:rPr>
      </w:pPr>
      <w:r w:rsidRPr="00AF5EDB">
        <w:rPr>
          <w:b/>
          <w:bCs/>
        </w:rPr>
        <w:t xml:space="preserve">MODEL </w:t>
      </w:r>
      <w:r w:rsidR="00A56592" w:rsidRPr="00AF5EDB">
        <w:rPr>
          <w:b/>
          <w:bCs/>
        </w:rPr>
        <w:t>LICENSE AGREEMENT</w:t>
      </w:r>
      <w:r w:rsidRPr="00AF5EDB">
        <w:rPr>
          <w:b/>
          <w:bCs/>
        </w:rPr>
        <w:t xml:space="preserve"> FOR USE BY NON-PROFITS:</w:t>
      </w:r>
    </w:p>
    <w:p w:rsidR="00AF5EDB" w:rsidRDefault="00AF5EDB" w:rsidP="00AF5EDB">
      <w:pPr>
        <w:pStyle w:val="Default"/>
        <w:jc w:val="center"/>
        <w:rPr>
          <w:b/>
          <w:bCs/>
          <w:sz w:val="22"/>
          <w:szCs w:val="22"/>
        </w:rPr>
      </w:pPr>
      <w:r w:rsidRPr="00AF5EDB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roviding Rights to NIH Technologies for Distribution and Sale of Products </w:t>
      </w:r>
    </w:p>
    <w:p w:rsidR="00A56592" w:rsidRPr="00AF5EDB" w:rsidRDefault="00AF5EDB" w:rsidP="00AF5ED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 Neglected Tropical Diseases, HIV, TB and Malaria</w:t>
      </w:r>
    </w:p>
    <w:p w:rsidR="00882D57" w:rsidRPr="00C05EC1" w:rsidRDefault="00882D57" w:rsidP="00C05EC1">
      <w:pPr>
        <w:pStyle w:val="Default"/>
        <w:rPr>
          <w:bCs/>
          <w:sz w:val="22"/>
          <w:szCs w:val="22"/>
          <w:u w:val="single"/>
        </w:rPr>
      </w:pPr>
      <w:bookmarkStart w:id="0" w:name="_GoBack"/>
      <w:bookmarkEnd w:id="0"/>
    </w:p>
    <w:p w:rsidR="00C33409" w:rsidRPr="00C05EC1" w:rsidRDefault="00C33409" w:rsidP="00C05EC1">
      <w:pPr>
        <w:pStyle w:val="Default"/>
        <w:rPr>
          <w:bCs/>
          <w:sz w:val="22"/>
          <w:szCs w:val="22"/>
          <w:u w:val="single"/>
        </w:rPr>
      </w:pPr>
    </w:p>
    <w:p w:rsidR="007A1C7F" w:rsidRDefault="00492E30" w:rsidP="00A56592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LICENSEE QUALIFICATIONS:</w:t>
      </w:r>
      <w:r w:rsidRPr="00C05EC1">
        <w:rPr>
          <w:bCs/>
          <w:sz w:val="22"/>
          <w:szCs w:val="22"/>
        </w:rPr>
        <w:t xml:space="preserve"> </w:t>
      </w:r>
      <w:r w:rsidR="00C05EC1" w:rsidRPr="00C05EC1">
        <w:rPr>
          <w:bCs/>
          <w:sz w:val="22"/>
          <w:szCs w:val="22"/>
        </w:rPr>
        <w:t xml:space="preserve"> </w:t>
      </w:r>
      <w:r w:rsidRPr="00492E30">
        <w:rPr>
          <w:bCs/>
          <w:sz w:val="22"/>
          <w:szCs w:val="22"/>
        </w:rPr>
        <w:t>Not-for-profit institutions such as Product Development Partnerships (PDP)</w:t>
      </w:r>
      <w:r>
        <w:rPr>
          <w:bCs/>
          <w:sz w:val="22"/>
          <w:szCs w:val="22"/>
        </w:rPr>
        <w:t xml:space="preserve"> and</w:t>
      </w:r>
      <w:r w:rsidRPr="00492E30">
        <w:rPr>
          <w:bCs/>
          <w:sz w:val="22"/>
          <w:szCs w:val="22"/>
        </w:rPr>
        <w:t xml:space="preserve"> Non-Government Organizations (NGOs) with a </w:t>
      </w:r>
      <w:r>
        <w:rPr>
          <w:bCs/>
          <w:sz w:val="22"/>
          <w:szCs w:val="22"/>
        </w:rPr>
        <w:t xml:space="preserve">demonstrated </w:t>
      </w:r>
      <w:r w:rsidRPr="00492E30">
        <w:rPr>
          <w:bCs/>
          <w:sz w:val="22"/>
          <w:szCs w:val="22"/>
        </w:rPr>
        <w:t>commitment to diligence in providing broad global access to technologies</w:t>
      </w:r>
      <w:r w:rsidR="009C0236">
        <w:rPr>
          <w:bCs/>
          <w:sz w:val="22"/>
          <w:szCs w:val="22"/>
        </w:rPr>
        <w:t>, products and services</w:t>
      </w:r>
      <w:r w:rsidRPr="00492E30">
        <w:rPr>
          <w:bCs/>
          <w:sz w:val="22"/>
          <w:szCs w:val="22"/>
        </w:rPr>
        <w:t xml:space="preserve"> </w:t>
      </w:r>
      <w:r w:rsidR="00156136">
        <w:rPr>
          <w:bCs/>
          <w:sz w:val="22"/>
          <w:szCs w:val="22"/>
        </w:rPr>
        <w:t>consistent with</w:t>
      </w:r>
      <w:r w:rsidR="009C0236">
        <w:rPr>
          <w:bCs/>
          <w:sz w:val="22"/>
          <w:szCs w:val="22"/>
        </w:rPr>
        <w:t xml:space="preserve"> an</w:t>
      </w:r>
      <w:r w:rsidR="00156136">
        <w:rPr>
          <w:bCs/>
          <w:sz w:val="22"/>
          <w:szCs w:val="22"/>
        </w:rPr>
        <w:t xml:space="preserve"> acceptable </w:t>
      </w:r>
      <w:r w:rsidR="009042EE">
        <w:rPr>
          <w:bCs/>
          <w:sz w:val="22"/>
          <w:szCs w:val="22"/>
        </w:rPr>
        <w:t>D</w:t>
      </w:r>
      <w:r w:rsidRPr="00492E30">
        <w:rPr>
          <w:bCs/>
          <w:sz w:val="22"/>
          <w:szCs w:val="22"/>
        </w:rPr>
        <w:t xml:space="preserve">evelopment </w:t>
      </w:r>
      <w:r w:rsidR="009042EE">
        <w:rPr>
          <w:bCs/>
          <w:sz w:val="22"/>
          <w:szCs w:val="22"/>
        </w:rPr>
        <w:t>P</w:t>
      </w:r>
      <w:r w:rsidRPr="00492E30">
        <w:rPr>
          <w:bCs/>
          <w:sz w:val="22"/>
          <w:szCs w:val="22"/>
        </w:rPr>
        <w:t>lans.</w:t>
      </w:r>
    </w:p>
    <w:p w:rsidR="00936B50" w:rsidRPr="00492E30" w:rsidRDefault="00936B50" w:rsidP="00A56592">
      <w:pPr>
        <w:pStyle w:val="Default"/>
        <w:rPr>
          <w:bCs/>
          <w:sz w:val="22"/>
          <w:szCs w:val="22"/>
        </w:rPr>
      </w:pPr>
    </w:p>
    <w:p w:rsidR="00313BBC" w:rsidRPr="00AB330B" w:rsidRDefault="00313BBC" w:rsidP="00936B50">
      <w:pPr>
        <w:pStyle w:val="CommentText"/>
        <w:rPr>
          <w:rFonts w:ascii="Times New Roman" w:hAnsi="Times New Roman"/>
          <w:bCs/>
          <w:sz w:val="22"/>
          <w:szCs w:val="22"/>
        </w:rPr>
      </w:pPr>
      <w:r w:rsidRPr="00AF527F">
        <w:rPr>
          <w:rFonts w:ascii="Times New Roman" w:hAnsi="Times New Roman"/>
          <w:b/>
          <w:bCs/>
          <w:sz w:val="22"/>
          <w:szCs w:val="22"/>
        </w:rPr>
        <w:t>FIELD:</w:t>
      </w:r>
      <w:r w:rsidRPr="00C05EC1">
        <w:rPr>
          <w:rFonts w:ascii="Times New Roman" w:hAnsi="Times New Roman"/>
          <w:bCs/>
          <w:sz w:val="22"/>
          <w:szCs w:val="22"/>
        </w:rPr>
        <w:t xml:space="preserve">  </w:t>
      </w:r>
      <w:r w:rsidRPr="00AF527F">
        <w:rPr>
          <w:rFonts w:ascii="Times New Roman" w:hAnsi="Times New Roman"/>
          <w:b/>
          <w:bCs/>
          <w:sz w:val="22"/>
          <w:szCs w:val="22"/>
        </w:rPr>
        <w:t>V</w:t>
      </w:r>
      <w:r w:rsidRPr="00AF527F">
        <w:rPr>
          <w:rFonts w:ascii="Times New Roman" w:hAnsi="Times New Roman"/>
          <w:bCs/>
          <w:sz w:val="22"/>
          <w:szCs w:val="22"/>
        </w:rPr>
        <w:t xml:space="preserve">accines, drugs, therapeutics and diagnostics </w:t>
      </w:r>
      <w:r>
        <w:rPr>
          <w:rFonts w:ascii="Times New Roman" w:hAnsi="Times New Roman"/>
          <w:bCs/>
          <w:sz w:val="22"/>
          <w:szCs w:val="22"/>
        </w:rPr>
        <w:t xml:space="preserve">(or enabling technologies to produce such products) </w:t>
      </w:r>
      <w:r w:rsidRPr="00AF527F">
        <w:rPr>
          <w:rFonts w:ascii="Times New Roman" w:hAnsi="Times New Roman"/>
          <w:bCs/>
          <w:sz w:val="22"/>
          <w:szCs w:val="22"/>
        </w:rPr>
        <w:t>to prevent, diagnose or treat Neglected Tropical Diseases (NTDs see</w:t>
      </w:r>
      <w:r w:rsidRPr="00AB330B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AB330B" w:rsidRPr="00AB330B">
          <w:rPr>
            <w:rStyle w:val="Hyperlink"/>
            <w:rFonts w:ascii="Times New Roman" w:hAnsi="Times New Roman"/>
            <w:sz w:val="22"/>
            <w:szCs w:val="22"/>
          </w:rPr>
          <w:t>http://www.who.int/neglected_diseases/en/</w:t>
        </w:r>
      </w:hyperlink>
      <w:r w:rsidRPr="00AB330B">
        <w:rPr>
          <w:rFonts w:ascii="Times New Roman" w:hAnsi="Times New Roman"/>
          <w:sz w:val="22"/>
          <w:szCs w:val="22"/>
        </w:rPr>
        <w:t>)</w:t>
      </w:r>
      <w:r w:rsidRPr="00AB330B">
        <w:rPr>
          <w:rFonts w:ascii="Times New Roman" w:hAnsi="Times New Roman"/>
          <w:bCs/>
          <w:sz w:val="22"/>
          <w:szCs w:val="22"/>
        </w:rPr>
        <w:t>, HIV, TB and malaria in humans or animals.</w:t>
      </w:r>
      <w:r w:rsidRPr="00AB330B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AB330B">
        <w:rPr>
          <w:rFonts w:ascii="Times New Roman" w:hAnsi="Times New Roman"/>
          <w:bCs/>
          <w:sz w:val="22"/>
          <w:szCs w:val="22"/>
        </w:rPr>
        <w:t xml:space="preserve"> Other technologies w</w:t>
      </w:r>
      <w:r w:rsidR="00F94FA0" w:rsidRPr="00AB330B">
        <w:rPr>
          <w:rFonts w:ascii="Times New Roman" w:hAnsi="Times New Roman"/>
          <w:bCs/>
          <w:sz w:val="22"/>
          <w:szCs w:val="22"/>
        </w:rPr>
        <w:t>ill</w:t>
      </w:r>
      <w:r w:rsidRPr="00AB330B">
        <w:rPr>
          <w:rFonts w:ascii="Times New Roman" w:hAnsi="Times New Roman"/>
          <w:bCs/>
          <w:sz w:val="22"/>
          <w:szCs w:val="22"/>
        </w:rPr>
        <w:t xml:space="preserve"> be considered on a case-by-case basis.</w:t>
      </w:r>
    </w:p>
    <w:p w:rsidR="00C77CF5" w:rsidRPr="00AF1A88" w:rsidRDefault="00AF1A88" w:rsidP="00C77CF5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LICENSE TERM:</w:t>
      </w:r>
      <w:r w:rsidR="00195FC2" w:rsidRPr="00C05EC1">
        <w:rPr>
          <w:bCs/>
          <w:sz w:val="22"/>
          <w:szCs w:val="22"/>
        </w:rPr>
        <w:t xml:space="preserve"> </w:t>
      </w:r>
      <w:r w:rsidRPr="00C05EC1">
        <w:rPr>
          <w:bCs/>
          <w:sz w:val="22"/>
          <w:szCs w:val="22"/>
        </w:rPr>
        <w:t xml:space="preserve"> </w:t>
      </w:r>
      <w:r w:rsidR="005D212C" w:rsidRPr="005D212C">
        <w:rPr>
          <w:bCs/>
          <w:sz w:val="22"/>
          <w:szCs w:val="22"/>
        </w:rPr>
        <w:t xml:space="preserve">Commercial </w:t>
      </w:r>
      <w:r w:rsidR="00600CD0">
        <w:rPr>
          <w:bCs/>
          <w:sz w:val="22"/>
          <w:szCs w:val="22"/>
        </w:rPr>
        <w:t>l</w:t>
      </w:r>
      <w:r w:rsidR="005D212C" w:rsidRPr="005D212C">
        <w:rPr>
          <w:bCs/>
          <w:sz w:val="22"/>
          <w:szCs w:val="22"/>
        </w:rPr>
        <w:t>icense</w:t>
      </w:r>
      <w:r w:rsidR="00600CD0" w:rsidRPr="00600CD0">
        <w:rPr>
          <w:bCs/>
          <w:sz w:val="22"/>
          <w:szCs w:val="22"/>
        </w:rPr>
        <w:t xml:space="preserve"> </w:t>
      </w:r>
      <w:r w:rsidR="00600CD0" w:rsidRPr="00B10FF4">
        <w:rPr>
          <w:bCs/>
          <w:sz w:val="22"/>
          <w:szCs w:val="22"/>
        </w:rPr>
        <w:t xml:space="preserve">in a specified </w:t>
      </w:r>
      <w:r w:rsidR="00600CD0">
        <w:rPr>
          <w:bCs/>
          <w:sz w:val="22"/>
          <w:szCs w:val="22"/>
        </w:rPr>
        <w:t>Fi</w:t>
      </w:r>
      <w:r w:rsidR="00600CD0" w:rsidRPr="00B10FF4">
        <w:rPr>
          <w:bCs/>
          <w:sz w:val="22"/>
          <w:szCs w:val="22"/>
        </w:rPr>
        <w:t>eld of use</w:t>
      </w:r>
      <w:r w:rsidR="005D212C" w:rsidRPr="005D212C">
        <w:rPr>
          <w:bCs/>
          <w:sz w:val="22"/>
          <w:szCs w:val="22"/>
        </w:rPr>
        <w:t xml:space="preserve"> f</w:t>
      </w:r>
      <w:r w:rsidR="00195FC2">
        <w:rPr>
          <w:bCs/>
          <w:sz w:val="22"/>
          <w:szCs w:val="22"/>
        </w:rPr>
        <w:t>o</w:t>
      </w:r>
      <w:r w:rsidR="00195FC2" w:rsidRPr="00B10FF4">
        <w:rPr>
          <w:bCs/>
          <w:sz w:val="22"/>
          <w:szCs w:val="22"/>
        </w:rPr>
        <w:t>r the term of the patent(s)</w:t>
      </w:r>
      <w:r w:rsidR="00195FC2">
        <w:rPr>
          <w:bCs/>
          <w:sz w:val="22"/>
          <w:szCs w:val="22"/>
        </w:rPr>
        <w:t xml:space="preserve"> or 20 years for biological materials</w:t>
      </w:r>
      <w:r w:rsidR="00600CD0">
        <w:rPr>
          <w:bCs/>
          <w:sz w:val="22"/>
          <w:szCs w:val="22"/>
        </w:rPr>
        <w:t>.</w:t>
      </w:r>
    </w:p>
    <w:p w:rsidR="00F94FA0" w:rsidRPr="00C05EC1" w:rsidRDefault="00F94FA0" w:rsidP="009042EE">
      <w:pPr>
        <w:pStyle w:val="Default"/>
        <w:rPr>
          <w:bCs/>
          <w:sz w:val="22"/>
          <w:szCs w:val="22"/>
        </w:rPr>
      </w:pPr>
    </w:p>
    <w:p w:rsidR="00F94FA0" w:rsidRPr="005F13C0" w:rsidRDefault="00F94FA0" w:rsidP="00F94FA0">
      <w:pPr>
        <w:pStyle w:val="Default"/>
        <w:rPr>
          <w:sz w:val="22"/>
          <w:szCs w:val="22"/>
        </w:rPr>
      </w:pPr>
      <w:r w:rsidRPr="005F13C0">
        <w:rPr>
          <w:b/>
          <w:bCs/>
          <w:sz w:val="22"/>
          <w:szCs w:val="22"/>
        </w:rPr>
        <w:t>TERRITORY:</w:t>
      </w:r>
      <w:r w:rsidRPr="005F13C0">
        <w:rPr>
          <w:bCs/>
          <w:sz w:val="22"/>
          <w:szCs w:val="22"/>
        </w:rPr>
        <w:t xml:space="preserve"> </w:t>
      </w:r>
      <w:r w:rsidR="00C05EC1" w:rsidRPr="005F13C0">
        <w:rPr>
          <w:bCs/>
          <w:sz w:val="22"/>
          <w:szCs w:val="22"/>
        </w:rPr>
        <w:t xml:space="preserve"> </w:t>
      </w:r>
      <w:r w:rsidRPr="005F13C0">
        <w:rPr>
          <w:bCs/>
          <w:sz w:val="22"/>
          <w:szCs w:val="22"/>
        </w:rPr>
        <w:t>Defined by specific countries within the World Bank categories of low and lower middle income countries (</w:t>
      </w:r>
      <w:hyperlink r:id="rId9" w:history="1">
        <w:r w:rsidR="00AB330B" w:rsidRPr="005F13C0">
          <w:rPr>
            <w:rStyle w:val="Hyperlink"/>
            <w:sz w:val="22"/>
            <w:szCs w:val="22"/>
          </w:rPr>
          <w:t>https://datahelpdesk.worldbank.org/knowledgebase/articles/906519</w:t>
        </w:r>
      </w:hyperlink>
      <w:r w:rsidR="00AB330B" w:rsidRPr="005F13C0">
        <w:rPr>
          <w:sz w:val="22"/>
          <w:szCs w:val="22"/>
        </w:rPr>
        <w:t xml:space="preserve">) </w:t>
      </w:r>
      <w:r w:rsidRPr="005F13C0">
        <w:rPr>
          <w:sz w:val="22"/>
          <w:szCs w:val="22"/>
        </w:rPr>
        <w:t xml:space="preserve">as of the effective </w:t>
      </w:r>
      <w:r w:rsidR="00C05EC1" w:rsidRPr="005F13C0">
        <w:rPr>
          <w:sz w:val="22"/>
          <w:szCs w:val="22"/>
        </w:rPr>
        <w:t>date of the license agreement.</w:t>
      </w:r>
    </w:p>
    <w:p w:rsidR="00AF1A88" w:rsidRPr="005F13C0" w:rsidRDefault="00AF1A88" w:rsidP="009042EE">
      <w:pPr>
        <w:pStyle w:val="Default"/>
        <w:rPr>
          <w:bCs/>
          <w:sz w:val="22"/>
          <w:szCs w:val="22"/>
        </w:rPr>
      </w:pPr>
    </w:p>
    <w:p w:rsidR="009042EE" w:rsidRDefault="009042EE" w:rsidP="009042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DEVELOPMENT PLAN:</w:t>
      </w:r>
      <w:r w:rsidRPr="009042EE">
        <w:rPr>
          <w:sz w:val="22"/>
          <w:szCs w:val="22"/>
        </w:rPr>
        <w:t xml:space="preserve"> </w:t>
      </w:r>
      <w:r w:rsidR="00C05EC1">
        <w:rPr>
          <w:sz w:val="22"/>
          <w:szCs w:val="22"/>
        </w:rPr>
        <w:t xml:space="preserve"> </w:t>
      </w:r>
      <w:r w:rsidR="00936B50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NGO/PDP’s development plan will detail </w:t>
      </w:r>
      <w:r w:rsidR="004613AB">
        <w:rPr>
          <w:sz w:val="22"/>
          <w:szCs w:val="22"/>
        </w:rPr>
        <w:t xml:space="preserve">with time </w:t>
      </w:r>
      <w:r w:rsidR="00195FC2">
        <w:rPr>
          <w:sz w:val="22"/>
          <w:szCs w:val="22"/>
        </w:rPr>
        <w:t xml:space="preserve">and financial </w:t>
      </w:r>
      <w:r w:rsidR="004613AB">
        <w:rPr>
          <w:sz w:val="22"/>
          <w:szCs w:val="22"/>
        </w:rPr>
        <w:t xml:space="preserve">commitments </w:t>
      </w:r>
      <w:r>
        <w:rPr>
          <w:sz w:val="22"/>
          <w:szCs w:val="22"/>
        </w:rPr>
        <w:t>how the product will be brought to final application</w:t>
      </w:r>
      <w:r w:rsidR="009C0236">
        <w:rPr>
          <w:sz w:val="22"/>
          <w:szCs w:val="22"/>
        </w:rPr>
        <w:t>, distribution or sale</w:t>
      </w:r>
      <w:r>
        <w:rPr>
          <w:sz w:val="22"/>
          <w:szCs w:val="22"/>
        </w:rPr>
        <w:t xml:space="preserve"> and </w:t>
      </w:r>
      <w:r w:rsidRPr="00705F47">
        <w:rPr>
          <w:sz w:val="22"/>
          <w:szCs w:val="22"/>
        </w:rPr>
        <w:t xml:space="preserve">may include, but </w:t>
      </w:r>
      <w:r>
        <w:rPr>
          <w:sz w:val="22"/>
          <w:szCs w:val="22"/>
        </w:rPr>
        <w:t>is</w:t>
      </w:r>
      <w:r w:rsidRPr="00705F47">
        <w:rPr>
          <w:sz w:val="22"/>
          <w:szCs w:val="22"/>
        </w:rPr>
        <w:t xml:space="preserve"> not limited to:  </w:t>
      </w:r>
      <w:r w:rsidR="00195FC2">
        <w:rPr>
          <w:sz w:val="22"/>
          <w:szCs w:val="22"/>
        </w:rPr>
        <w:t>h</w:t>
      </w:r>
      <w:r w:rsidRPr="00705F47">
        <w:rPr>
          <w:sz w:val="22"/>
          <w:szCs w:val="22"/>
        </w:rPr>
        <w:t xml:space="preserve">iring of </w:t>
      </w:r>
      <w:r w:rsidR="00195FC2">
        <w:rPr>
          <w:sz w:val="22"/>
          <w:szCs w:val="22"/>
        </w:rPr>
        <w:t>m</w:t>
      </w:r>
      <w:r w:rsidRPr="00705F47">
        <w:rPr>
          <w:sz w:val="22"/>
          <w:szCs w:val="22"/>
        </w:rPr>
        <w:t xml:space="preserve">anagement </w:t>
      </w:r>
      <w:r w:rsidR="00195FC2">
        <w:rPr>
          <w:sz w:val="22"/>
          <w:szCs w:val="22"/>
        </w:rPr>
        <w:t>p</w:t>
      </w:r>
      <w:r w:rsidRPr="00705F47">
        <w:rPr>
          <w:sz w:val="22"/>
          <w:szCs w:val="22"/>
        </w:rPr>
        <w:t xml:space="preserve">ersonnel, </w:t>
      </w:r>
      <w:r w:rsidR="00195FC2">
        <w:rPr>
          <w:sz w:val="22"/>
          <w:szCs w:val="22"/>
        </w:rPr>
        <w:t>c</w:t>
      </w:r>
      <w:r w:rsidRPr="00705F47">
        <w:rPr>
          <w:sz w:val="22"/>
          <w:szCs w:val="22"/>
        </w:rPr>
        <w:t xml:space="preserve">ompletion of </w:t>
      </w:r>
      <w:r w:rsidR="00195FC2">
        <w:rPr>
          <w:sz w:val="22"/>
          <w:szCs w:val="22"/>
        </w:rPr>
        <w:t>p</w:t>
      </w:r>
      <w:r w:rsidRPr="00705F47">
        <w:rPr>
          <w:sz w:val="22"/>
          <w:szCs w:val="22"/>
        </w:rPr>
        <w:t xml:space="preserve">rototype or </w:t>
      </w:r>
      <w:r w:rsidR="00195FC2">
        <w:rPr>
          <w:sz w:val="22"/>
          <w:szCs w:val="22"/>
        </w:rPr>
        <w:t>p</w:t>
      </w:r>
      <w:r w:rsidRPr="00705F47">
        <w:rPr>
          <w:sz w:val="22"/>
          <w:szCs w:val="22"/>
        </w:rPr>
        <w:t xml:space="preserve">roof of </w:t>
      </w:r>
      <w:r w:rsidR="00195FC2">
        <w:rPr>
          <w:sz w:val="22"/>
          <w:szCs w:val="22"/>
        </w:rPr>
        <w:t>c</w:t>
      </w:r>
      <w:r w:rsidRPr="00705F47">
        <w:rPr>
          <w:sz w:val="22"/>
          <w:szCs w:val="22"/>
        </w:rPr>
        <w:t xml:space="preserve">oncept, </w:t>
      </w:r>
      <w:r w:rsidR="00195FC2">
        <w:rPr>
          <w:sz w:val="22"/>
          <w:szCs w:val="22"/>
        </w:rPr>
        <w:t>raising specific amounts of funds for R&amp;D</w:t>
      </w:r>
      <w:r w:rsidRPr="00705F47">
        <w:rPr>
          <w:sz w:val="22"/>
          <w:szCs w:val="22"/>
        </w:rPr>
        <w:t xml:space="preserve">, </w:t>
      </w:r>
      <w:r w:rsidR="00195FC2">
        <w:rPr>
          <w:sz w:val="22"/>
          <w:szCs w:val="22"/>
        </w:rPr>
        <w:t>m</w:t>
      </w:r>
      <w:r w:rsidRPr="00705F47">
        <w:rPr>
          <w:sz w:val="22"/>
          <w:szCs w:val="22"/>
        </w:rPr>
        <w:t>anufacturing</w:t>
      </w:r>
      <w:r w:rsidR="00195FC2">
        <w:rPr>
          <w:sz w:val="22"/>
          <w:szCs w:val="22"/>
        </w:rPr>
        <w:t xml:space="preserve"> timelines</w:t>
      </w:r>
      <w:r w:rsidRPr="00705F47">
        <w:rPr>
          <w:sz w:val="22"/>
          <w:szCs w:val="22"/>
        </w:rPr>
        <w:t xml:space="preserve">, </w:t>
      </w:r>
      <w:r w:rsidR="00195FC2">
        <w:rPr>
          <w:sz w:val="22"/>
          <w:szCs w:val="22"/>
        </w:rPr>
        <w:t>f</w:t>
      </w:r>
      <w:r w:rsidRPr="00705F47">
        <w:rPr>
          <w:sz w:val="22"/>
          <w:szCs w:val="22"/>
        </w:rPr>
        <w:t xml:space="preserve">irst </w:t>
      </w:r>
      <w:r w:rsidR="00195FC2">
        <w:rPr>
          <w:sz w:val="22"/>
          <w:szCs w:val="22"/>
        </w:rPr>
        <w:t>s</w:t>
      </w:r>
      <w:r w:rsidRPr="00705F47">
        <w:rPr>
          <w:sz w:val="22"/>
          <w:szCs w:val="22"/>
        </w:rPr>
        <w:t xml:space="preserve">ublicense, </w:t>
      </w:r>
      <w:r w:rsidR="00195FC2">
        <w:rPr>
          <w:sz w:val="22"/>
          <w:szCs w:val="22"/>
        </w:rPr>
        <w:t>i</w:t>
      </w:r>
      <w:r w:rsidRPr="00705F47">
        <w:rPr>
          <w:sz w:val="22"/>
          <w:szCs w:val="22"/>
        </w:rPr>
        <w:t xml:space="preserve">nitiation of </w:t>
      </w:r>
      <w:r w:rsidR="00195FC2">
        <w:rPr>
          <w:sz w:val="22"/>
          <w:szCs w:val="22"/>
        </w:rPr>
        <w:t>c</w:t>
      </w:r>
      <w:r w:rsidRPr="00705F47">
        <w:rPr>
          <w:sz w:val="22"/>
          <w:szCs w:val="22"/>
        </w:rPr>
        <w:t xml:space="preserve">linical </w:t>
      </w:r>
      <w:r w:rsidR="00195FC2">
        <w:rPr>
          <w:sz w:val="22"/>
          <w:szCs w:val="22"/>
        </w:rPr>
        <w:t>t</w:t>
      </w:r>
      <w:r w:rsidRPr="00705F47">
        <w:rPr>
          <w:sz w:val="22"/>
          <w:szCs w:val="22"/>
        </w:rPr>
        <w:t xml:space="preserve">rials (all phases), </w:t>
      </w:r>
      <w:r w:rsidR="00195FC2">
        <w:rPr>
          <w:sz w:val="22"/>
          <w:szCs w:val="22"/>
        </w:rPr>
        <w:t>i</w:t>
      </w:r>
      <w:r w:rsidRPr="00705F47">
        <w:rPr>
          <w:sz w:val="22"/>
          <w:szCs w:val="22"/>
        </w:rPr>
        <w:t xml:space="preserve">nitiation of </w:t>
      </w:r>
      <w:r w:rsidR="00195FC2">
        <w:rPr>
          <w:sz w:val="22"/>
          <w:szCs w:val="22"/>
        </w:rPr>
        <w:t>regulatory f</w:t>
      </w:r>
      <w:r w:rsidRPr="00705F47">
        <w:rPr>
          <w:sz w:val="22"/>
          <w:szCs w:val="22"/>
        </w:rPr>
        <w:t xml:space="preserve">ilings, </w:t>
      </w:r>
      <w:r w:rsidR="00195FC2">
        <w:rPr>
          <w:sz w:val="22"/>
          <w:szCs w:val="22"/>
        </w:rPr>
        <w:t>f</w:t>
      </w:r>
      <w:r w:rsidRPr="00705F47">
        <w:rPr>
          <w:sz w:val="22"/>
          <w:szCs w:val="22"/>
        </w:rPr>
        <w:t xml:space="preserve">irst </w:t>
      </w:r>
      <w:r w:rsidR="00195FC2">
        <w:rPr>
          <w:sz w:val="22"/>
          <w:szCs w:val="22"/>
        </w:rPr>
        <w:t>s</w:t>
      </w:r>
      <w:r w:rsidRPr="00705F47">
        <w:rPr>
          <w:sz w:val="22"/>
          <w:szCs w:val="22"/>
        </w:rPr>
        <w:t>ale</w:t>
      </w:r>
      <w:r w:rsidR="00195FC2">
        <w:rPr>
          <w:sz w:val="22"/>
          <w:szCs w:val="22"/>
        </w:rPr>
        <w:t xml:space="preserve"> or distribution</w:t>
      </w:r>
      <w:r w:rsidRPr="00705F47">
        <w:rPr>
          <w:sz w:val="22"/>
          <w:szCs w:val="22"/>
        </w:rPr>
        <w:t>, etc.</w:t>
      </w:r>
    </w:p>
    <w:p w:rsidR="009042EE" w:rsidRPr="00C05EC1" w:rsidRDefault="009042EE" w:rsidP="00C77CF5">
      <w:pPr>
        <w:pStyle w:val="Default"/>
        <w:rPr>
          <w:bCs/>
          <w:sz w:val="22"/>
          <w:szCs w:val="22"/>
        </w:rPr>
      </w:pPr>
    </w:p>
    <w:p w:rsidR="007E03BD" w:rsidRPr="00492E30" w:rsidRDefault="00492E30" w:rsidP="00C77CF5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DEGREE OF EXCLUSIVITY: </w:t>
      </w:r>
      <w:r w:rsidR="005D212C" w:rsidRPr="005D212C">
        <w:rPr>
          <w:bCs/>
          <w:sz w:val="22"/>
          <w:szCs w:val="22"/>
        </w:rPr>
        <w:t xml:space="preserve">By law and policy, NIH favors non-exclusive licenses.  </w:t>
      </w:r>
      <w:r w:rsidR="00195FC2" w:rsidRPr="00492E30">
        <w:rPr>
          <w:bCs/>
          <w:sz w:val="22"/>
          <w:szCs w:val="22"/>
        </w:rPr>
        <w:t xml:space="preserve">Licenses to platform technologies, including </w:t>
      </w:r>
      <w:r w:rsidR="00195FC2">
        <w:rPr>
          <w:bCs/>
          <w:sz w:val="22"/>
          <w:szCs w:val="22"/>
        </w:rPr>
        <w:t xml:space="preserve">in the field of </w:t>
      </w:r>
      <w:r w:rsidR="00195FC2" w:rsidRPr="00492E30">
        <w:rPr>
          <w:bCs/>
          <w:sz w:val="22"/>
          <w:szCs w:val="22"/>
        </w:rPr>
        <w:t>diagnostics, will be available on a nonexclusive basis or in some cases under an exclusive license with very narrow product specific limitations.</w:t>
      </w:r>
      <w:r w:rsidR="00195FC2">
        <w:rPr>
          <w:bCs/>
          <w:sz w:val="22"/>
          <w:szCs w:val="22"/>
        </w:rPr>
        <w:t xml:space="preserve">  </w:t>
      </w:r>
      <w:r w:rsidRPr="00492E30">
        <w:rPr>
          <w:bCs/>
          <w:sz w:val="22"/>
          <w:szCs w:val="22"/>
        </w:rPr>
        <w:t xml:space="preserve">Consistent with applicable laws, regulations and policies, exclusive licenses will be considered for </w:t>
      </w:r>
      <w:r w:rsidR="0049068F">
        <w:rPr>
          <w:bCs/>
          <w:sz w:val="22"/>
          <w:szCs w:val="22"/>
        </w:rPr>
        <w:t xml:space="preserve">potential drug (small molecular entities and biologics) and vaccine components </w:t>
      </w:r>
      <w:r w:rsidR="00195FC2">
        <w:rPr>
          <w:bCs/>
          <w:sz w:val="22"/>
          <w:szCs w:val="22"/>
        </w:rPr>
        <w:t xml:space="preserve">and will be </w:t>
      </w:r>
      <w:r w:rsidRPr="00492E30">
        <w:rPr>
          <w:bCs/>
          <w:sz w:val="22"/>
          <w:szCs w:val="22"/>
        </w:rPr>
        <w:t xml:space="preserve">limited to </w:t>
      </w:r>
      <w:r w:rsidR="003B42B4">
        <w:rPr>
          <w:bCs/>
          <w:sz w:val="22"/>
          <w:szCs w:val="22"/>
        </w:rPr>
        <w:t xml:space="preserve">defined </w:t>
      </w:r>
      <w:r w:rsidRPr="00492E30">
        <w:rPr>
          <w:bCs/>
          <w:sz w:val="22"/>
          <w:szCs w:val="22"/>
        </w:rPr>
        <w:t>indication</w:t>
      </w:r>
      <w:r w:rsidR="003B42B4">
        <w:rPr>
          <w:bCs/>
          <w:sz w:val="22"/>
          <w:szCs w:val="22"/>
        </w:rPr>
        <w:t>s</w:t>
      </w:r>
      <w:r w:rsidRPr="00492E30">
        <w:rPr>
          <w:bCs/>
          <w:sz w:val="22"/>
          <w:szCs w:val="22"/>
        </w:rPr>
        <w:t xml:space="preserve"> and territor</w:t>
      </w:r>
      <w:r w:rsidR="003B42B4">
        <w:rPr>
          <w:bCs/>
          <w:sz w:val="22"/>
          <w:szCs w:val="22"/>
        </w:rPr>
        <w:t>ies</w:t>
      </w:r>
      <w:r w:rsidRPr="00492E30">
        <w:rPr>
          <w:bCs/>
          <w:sz w:val="22"/>
          <w:szCs w:val="22"/>
        </w:rPr>
        <w:t>.</w:t>
      </w:r>
      <w:r w:rsidR="003B42B4">
        <w:rPr>
          <w:bCs/>
          <w:sz w:val="22"/>
          <w:szCs w:val="22"/>
        </w:rPr>
        <w:t xml:space="preserve">  Nonexclusive licenses will be available for technologies to the exten</w:t>
      </w:r>
      <w:r w:rsidR="00195FC2">
        <w:rPr>
          <w:bCs/>
          <w:sz w:val="22"/>
          <w:szCs w:val="22"/>
        </w:rPr>
        <w:t>t</w:t>
      </w:r>
      <w:r w:rsidR="003B42B4">
        <w:rPr>
          <w:bCs/>
          <w:sz w:val="22"/>
          <w:szCs w:val="22"/>
        </w:rPr>
        <w:t xml:space="preserve"> defined indications and territories are not already licensed exclusively</w:t>
      </w:r>
      <w:r w:rsidR="00195FC2">
        <w:rPr>
          <w:bCs/>
          <w:sz w:val="22"/>
          <w:szCs w:val="22"/>
        </w:rPr>
        <w:t xml:space="preserve"> or subject to an exclusive license option under a </w:t>
      </w:r>
      <w:r w:rsidR="00DB4C4A">
        <w:rPr>
          <w:bCs/>
          <w:sz w:val="22"/>
          <w:szCs w:val="22"/>
        </w:rPr>
        <w:t>Cooperative Research and Development Agreement (</w:t>
      </w:r>
      <w:r w:rsidR="00195FC2">
        <w:rPr>
          <w:bCs/>
          <w:sz w:val="22"/>
          <w:szCs w:val="22"/>
        </w:rPr>
        <w:t>CRADA</w:t>
      </w:r>
      <w:r w:rsidR="00DB4C4A">
        <w:rPr>
          <w:bCs/>
          <w:sz w:val="22"/>
          <w:szCs w:val="22"/>
        </w:rPr>
        <w:t>)</w:t>
      </w:r>
      <w:r w:rsidR="00C05EC1">
        <w:rPr>
          <w:bCs/>
          <w:sz w:val="22"/>
          <w:szCs w:val="22"/>
        </w:rPr>
        <w:t>.</w:t>
      </w:r>
    </w:p>
    <w:p w:rsidR="00957A23" w:rsidRPr="00C05EC1" w:rsidRDefault="00957A23" w:rsidP="00C77CF5">
      <w:pPr>
        <w:pStyle w:val="Default"/>
        <w:rPr>
          <w:bCs/>
          <w:sz w:val="22"/>
          <w:szCs w:val="22"/>
        </w:rPr>
      </w:pPr>
    </w:p>
    <w:p w:rsidR="00957A23" w:rsidRPr="00C05EC1" w:rsidRDefault="00957A23" w:rsidP="00C77CF5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TERMINATION OR “PULL BACK” TERMS:</w:t>
      </w:r>
      <w:r w:rsidRPr="00C05EC1">
        <w:rPr>
          <w:bCs/>
          <w:sz w:val="22"/>
          <w:szCs w:val="22"/>
        </w:rPr>
        <w:t xml:space="preserve"> </w:t>
      </w:r>
      <w:r w:rsidR="00C05EC1" w:rsidRPr="00C05EC1">
        <w:rPr>
          <w:bCs/>
          <w:sz w:val="22"/>
          <w:szCs w:val="22"/>
        </w:rPr>
        <w:t xml:space="preserve"> </w:t>
      </w:r>
      <w:r w:rsidR="005D212C" w:rsidRPr="00C05EC1">
        <w:rPr>
          <w:bCs/>
          <w:sz w:val="22"/>
          <w:szCs w:val="22"/>
        </w:rPr>
        <w:t>License t</w:t>
      </w:r>
      <w:r w:rsidRPr="00C05EC1">
        <w:rPr>
          <w:bCs/>
          <w:sz w:val="22"/>
          <w:szCs w:val="22"/>
        </w:rPr>
        <w:t>erms</w:t>
      </w:r>
      <w:r>
        <w:rPr>
          <w:bCs/>
          <w:sz w:val="22"/>
          <w:szCs w:val="22"/>
        </w:rPr>
        <w:t xml:space="preserve"> w</w:t>
      </w:r>
      <w:r w:rsidR="00313BBC">
        <w:rPr>
          <w:bCs/>
          <w:sz w:val="22"/>
          <w:szCs w:val="22"/>
        </w:rPr>
        <w:t>ill</w:t>
      </w:r>
      <w:r w:rsidR="00936B5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include m</w:t>
      </w:r>
      <w:r w:rsidRPr="00156136">
        <w:rPr>
          <w:bCs/>
          <w:sz w:val="22"/>
          <w:szCs w:val="22"/>
        </w:rPr>
        <w:t>and</w:t>
      </w:r>
      <w:r>
        <w:rPr>
          <w:bCs/>
          <w:sz w:val="22"/>
          <w:szCs w:val="22"/>
        </w:rPr>
        <w:t>a</w:t>
      </w:r>
      <w:r w:rsidRPr="00156136">
        <w:rPr>
          <w:bCs/>
          <w:sz w:val="22"/>
          <w:szCs w:val="22"/>
        </w:rPr>
        <w:t>tory sublicens</w:t>
      </w:r>
      <w:r>
        <w:rPr>
          <w:bCs/>
          <w:sz w:val="22"/>
          <w:szCs w:val="22"/>
        </w:rPr>
        <w:t>ing</w:t>
      </w:r>
      <w:r w:rsidRPr="00156136">
        <w:rPr>
          <w:bCs/>
          <w:sz w:val="22"/>
          <w:szCs w:val="22"/>
        </w:rPr>
        <w:t xml:space="preserve"> or </w:t>
      </w:r>
      <w:r>
        <w:rPr>
          <w:bCs/>
          <w:sz w:val="22"/>
          <w:szCs w:val="22"/>
        </w:rPr>
        <w:t>surrender of rights in countries</w:t>
      </w:r>
      <w:r w:rsidRPr="00156136">
        <w:rPr>
          <w:bCs/>
          <w:sz w:val="22"/>
          <w:szCs w:val="22"/>
        </w:rPr>
        <w:t xml:space="preserve"> where diligence is not pursued</w:t>
      </w:r>
      <w:r>
        <w:rPr>
          <w:bCs/>
          <w:sz w:val="22"/>
          <w:szCs w:val="22"/>
        </w:rPr>
        <w:t xml:space="preserve"> consistent with the Development Plan. </w:t>
      </w:r>
      <w:r w:rsidR="00600CD0">
        <w:rPr>
          <w:bCs/>
          <w:sz w:val="22"/>
          <w:szCs w:val="22"/>
        </w:rPr>
        <w:t xml:space="preserve"> </w:t>
      </w:r>
      <w:r w:rsidR="00473885" w:rsidRPr="00492E30">
        <w:rPr>
          <w:bCs/>
          <w:sz w:val="22"/>
          <w:szCs w:val="22"/>
        </w:rPr>
        <w:t>Exclusive licenses will include “pull back”</w:t>
      </w:r>
      <w:r w:rsidR="004613AB">
        <w:rPr>
          <w:bCs/>
          <w:sz w:val="22"/>
          <w:szCs w:val="22"/>
        </w:rPr>
        <w:t xml:space="preserve"> </w:t>
      </w:r>
      <w:r w:rsidR="00473885" w:rsidRPr="00492E30">
        <w:rPr>
          <w:bCs/>
          <w:sz w:val="22"/>
          <w:szCs w:val="22"/>
        </w:rPr>
        <w:t>terms for new</w:t>
      </w:r>
      <w:r w:rsidR="004613AB">
        <w:rPr>
          <w:bCs/>
          <w:sz w:val="22"/>
          <w:szCs w:val="22"/>
        </w:rPr>
        <w:t xml:space="preserve"> or</w:t>
      </w:r>
      <w:r w:rsidR="00473885" w:rsidRPr="00492E30">
        <w:rPr>
          <w:bCs/>
          <w:sz w:val="22"/>
          <w:szCs w:val="22"/>
        </w:rPr>
        <w:t xml:space="preserve"> unmet needs </w:t>
      </w:r>
      <w:r w:rsidR="00600CD0">
        <w:rPr>
          <w:bCs/>
          <w:sz w:val="22"/>
          <w:szCs w:val="22"/>
        </w:rPr>
        <w:t>that</w:t>
      </w:r>
      <w:r w:rsidR="00473885" w:rsidRPr="00492E30">
        <w:rPr>
          <w:bCs/>
          <w:sz w:val="22"/>
          <w:szCs w:val="22"/>
        </w:rPr>
        <w:t xml:space="preserve"> the licensee </w:t>
      </w:r>
      <w:r w:rsidR="004613AB">
        <w:rPr>
          <w:bCs/>
          <w:sz w:val="22"/>
          <w:szCs w:val="22"/>
        </w:rPr>
        <w:t>elects not to pursue or</w:t>
      </w:r>
      <w:r w:rsidR="00473885">
        <w:rPr>
          <w:bCs/>
          <w:sz w:val="22"/>
          <w:szCs w:val="22"/>
        </w:rPr>
        <w:t xml:space="preserve"> </w:t>
      </w:r>
      <w:r w:rsidR="004613AB">
        <w:rPr>
          <w:bCs/>
          <w:sz w:val="22"/>
          <w:szCs w:val="22"/>
        </w:rPr>
        <w:t xml:space="preserve">cannot </w:t>
      </w:r>
      <w:r w:rsidR="00473885" w:rsidRPr="00492E30">
        <w:rPr>
          <w:bCs/>
          <w:sz w:val="22"/>
          <w:szCs w:val="22"/>
        </w:rPr>
        <w:t>commit</w:t>
      </w:r>
      <w:r w:rsidR="004613AB">
        <w:rPr>
          <w:bCs/>
          <w:sz w:val="22"/>
          <w:szCs w:val="22"/>
        </w:rPr>
        <w:t xml:space="preserve"> to pursue</w:t>
      </w:r>
      <w:r w:rsidR="00473885" w:rsidRPr="00492E30">
        <w:rPr>
          <w:bCs/>
          <w:sz w:val="22"/>
          <w:szCs w:val="22"/>
        </w:rPr>
        <w:t>.</w:t>
      </w:r>
      <w:r w:rsidR="00600CD0">
        <w:rPr>
          <w:bCs/>
          <w:sz w:val="22"/>
          <w:szCs w:val="22"/>
        </w:rPr>
        <w:t xml:space="preserve"> </w:t>
      </w:r>
      <w:r w:rsidR="00313BBC">
        <w:rPr>
          <w:bCs/>
          <w:sz w:val="22"/>
          <w:szCs w:val="22"/>
        </w:rPr>
        <w:t xml:space="preserve"> An exclusive</w:t>
      </w:r>
      <w:r w:rsidR="000078E2">
        <w:rPr>
          <w:bCs/>
          <w:sz w:val="22"/>
          <w:szCs w:val="22"/>
        </w:rPr>
        <w:t xml:space="preserve"> </w:t>
      </w:r>
      <w:r w:rsidR="00600CD0">
        <w:rPr>
          <w:bCs/>
          <w:sz w:val="22"/>
          <w:szCs w:val="22"/>
        </w:rPr>
        <w:t>l</w:t>
      </w:r>
      <w:r w:rsidR="00473885">
        <w:rPr>
          <w:bCs/>
          <w:sz w:val="22"/>
          <w:szCs w:val="22"/>
        </w:rPr>
        <w:t xml:space="preserve">icensee </w:t>
      </w:r>
      <w:r w:rsidR="004613AB">
        <w:rPr>
          <w:bCs/>
          <w:sz w:val="22"/>
          <w:szCs w:val="22"/>
        </w:rPr>
        <w:t>may be required to sublicense, reduce the license to non</w:t>
      </w:r>
      <w:r w:rsidR="00936B50">
        <w:rPr>
          <w:bCs/>
          <w:sz w:val="22"/>
          <w:szCs w:val="22"/>
        </w:rPr>
        <w:t>-</w:t>
      </w:r>
      <w:r w:rsidR="004613AB">
        <w:rPr>
          <w:bCs/>
          <w:sz w:val="22"/>
          <w:szCs w:val="22"/>
        </w:rPr>
        <w:t xml:space="preserve">exclusivity, or </w:t>
      </w:r>
      <w:r w:rsidR="00473885">
        <w:rPr>
          <w:bCs/>
          <w:sz w:val="22"/>
          <w:szCs w:val="22"/>
        </w:rPr>
        <w:t xml:space="preserve">to </w:t>
      </w:r>
      <w:r w:rsidR="000078E2">
        <w:rPr>
          <w:bCs/>
          <w:sz w:val="22"/>
          <w:szCs w:val="22"/>
        </w:rPr>
        <w:t>relinquish</w:t>
      </w:r>
      <w:r>
        <w:rPr>
          <w:bCs/>
          <w:sz w:val="22"/>
          <w:szCs w:val="22"/>
        </w:rPr>
        <w:t xml:space="preserve"> rights to sell or distribute product in a particular territory or for </w:t>
      </w:r>
      <w:r w:rsidR="000078E2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particular indication </w:t>
      </w:r>
      <w:r w:rsidR="00473885">
        <w:rPr>
          <w:bCs/>
          <w:sz w:val="22"/>
          <w:szCs w:val="22"/>
        </w:rPr>
        <w:t xml:space="preserve">when </w:t>
      </w:r>
      <w:r w:rsidR="000078E2">
        <w:rPr>
          <w:bCs/>
          <w:sz w:val="22"/>
          <w:szCs w:val="22"/>
        </w:rPr>
        <w:t>the</w:t>
      </w:r>
      <w:r w:rsidR="00473885">
        <w:rPr>
          <w:bCs/>
          <w:sz w:val="22"/>
          <w:szCs w:val="22"/>
        </w:rPr>
        <w:t xml:space="preserve"> </w:t>
      </w:r>
      <w:r w:rsidR="00600CD0">
        <w:rPr>
          <w:bCs/>
          <w:sz w:val="22"/>
          <w:szCs w:val="22"/>
        </w:rPr>
        <w:t>Development Plan</w:t>
      </w:r>
      <w:r w:rsidR="000078E2">
        <w:rPr>
          <w:bCs/>
          <w:sz w:val="22"/>
          <w:szCs w:val="22"/>
        </w:rPr>
        <w:t xml:space="preserve"> </w:t>
      </w:r>
      <w:r w:rsidR="00600CD0">
        <w:rPr>
          <w:bCs/>
          <w:sz w:val="22"/>
          <w:szCs w:val="22"/>
        </w:rPr>
        <w:t>m</w:t>
      </w:r>
      <w:r w:rsidR="000078E2">
        <w:rPr>
          <w:bCs/>
          <w:sz w:val="22"/>
          <w:szCs w:val="22"/>
        </w:rPr>
        <w:t>ilestones</w:t>
      </w:r>
      <w:r w:rsidR="00473885">
        <w:rPr>
          <w:bCs/>
          <w:sz w:val="22"/>
          <w:szCs w:val="22"/>
        </w:rPr>
        <w:t xml:space="preserve"> are not met</w:t>
      </w:r>
      <w:r w:rsidR="00600CD0">
        <w:rPr>
          <w:bCs/>
          <w:sz w:val="22"/>
          <w:szCs w:val="22"/>
        </w:rPr>
        <w:t>,</w:t>
      </w:r>
      <w:r w:rsidR="000078E2">
        <w:rPr>
          <w:bCs/>
          <w:sz w:val="22"/>
          <w:szCs w:val="22"/>
        </w:rPr>
        <w:t xml:space="preserve"> and the Licensee does not provide an adequate plan to remedy the lack of diligence.  Alternatively, NIH may terminate</w:t>
      </w:r>
      <w:r>
        <w:rPr>
          <w:bCs/>
          <w:sz w:val="22"/>
          <w:szCs w:val="22"/>
        </w:rPr>
        <w:t xml:space="preserve"> the license in its entirety </w:t>
      </w:r>
      <w:r w:rsidR="00313BBC">
        <w:rPr>
          <w:bCs/>
          <w:sz w:val="22"/>
          <w:szCs w:val="22"/>
        </w:rPr>
        <w:t xml:space="preserve">as necessary to ensure successful </w:t>
      </w:r>
      <w:r w:rsidR="000078E2">
        <w:rPr>
          <w:bCs/>
          <w:sz w:val="22"/>
          <w:szCs w:val="22"/>
        </w:rPr>
        <w:t>development and commercialization in the Field</w:t>
      </w:r>
      <w:r>
        <w:rPr>
          <w:bCs/>
          <w:sz w:val="22"/>
          <w:szCs w:val="22"/>
        </w:rPr>
        <w:t>.</w:t>
      </w:r>
    </w:p>
    <w:p w:rsidR="007A1C7F" w:rsidRPr="00C05EC1" w:rsidRDefault="007A1C7F" w:rsidP="00A56592">
      <w:pPr>
        <w:pStyle w:val="Default"/>
        <w:rPr>
          <w:bCs/>
          <w:sz w:val="22"/>
          <w:szCs w:val="22"/>
        </w:rPr>
      </w:pPr>
    </w:p>
    <w:p w:rsidR="00C13FBB" w:rsidRPr="00C77CF5" w:rsidRDefault="004F7B64" w:rsidP="00A56592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SCOPE</w:t>
      </w:r>
      <w:r w:rsidR="002B1848">
        <w:rPr>
          <w:b/>
          <w:bCs/>
          <w:sz w:val="22"/>
          <w:szCs w:val="22"/>
        </w:rPr>
        <w:t>:</w:t>
      </w:r>
      <w:r w:rsidR="002B1848" w:rsidRPr="00C05EC1">
        <w:rPr>
          <w:bCs/>
          <w:sz w:val="22"/>
          <w:szCs w:val="22"/>
        </w:rPr>
        <w:t xml:space="preserve"> </w:t>
      </w:r>
      <w:r w:rsidR="00C05EC1" w:rsidRPr="00C05EC1">
        <w:rPr>
          <w:bCs/>
          <w:sz w:val="22"/>
          <w:szCs w:val="22"/>
        </w:rPr>
        <w:t xml:space="preserve"> </w:t>
      </w:r>
      <w:r w:rsidR="00600CD0">
        <w:rPr>
          <w:bCs/>
          <w:sz w:val="22"/>
          <w:szCs w:val="22"/>
        </w:rPr>
        <w:t xml:space="preserve">(1) </w:t>
      </w:r>
      <w:r w:rsidR="00C13FBB" w:rsidRPr="00C77CF5">
        <w:rPr>
          <w:bCs/>
          <w:sz w:val="22"/>
          <w:szCs w:val="22"/>
        </w:rPr>
        <w:t xml:space="preserve">Licenses to </w:t>
      </w:r>
      <w:r w:rsidRPr="00C77CF5">
        <w:rPr>
          <w:bCs/>
          <w:sz w:val="22"/>
          <w:szCs w:val="22"/>
        </w:rPr>
        <w:t>p</w:t>
      </w:r>
      <w:r w:rsidR="002B1848" w:rsidRPr="00C77CF5">
        <w:rPr>
          <w:bCs/>
          <w:sz w:val="22"/>
          <w:szCs w:val="22"/>
        </w:rPr>
        <w:t>ending or issued US and</w:t>
      </w:r>
      <w:r w:rsidR="00156136">
        <w:rPr>
          <w:bCs/>
          <w:sz w:val="22"/>
          <w:szCs w:val="22"/>
        </w:rPr>
        <w:t>/or</w:t>
      </w:r>
      <w:r w:rsidR="002B1848" w:rsidRPr="00C77CF5">
        <w:rPr>
          <w:bCs/>
          <w:sz w:val="22"/>
          <w:szCs w:val="22"/>
        </w:rPr>
        <w:t xml:space="preserve"> foreign equivalent patents</w:t>
      </w:r>
      <w:r w:rsidR="00315A69">
        <w:rPr>
          <w:bCs/>
          <w:sz w:val="22"/>
          <w:szCs w:val="22"/>
        </w:rPr>
        <w:t>,</w:t>
      </w:r>
      <w:r w:rsidR="002B1848" w:rsidRPr="00C77CF5">
        <w:rPr>
          <w:bCs/>
          <w:sz w:val="22"/>
          <w:szCs w:val="22"/>
        </w:rPr>
        <w:t xml:space="preserve"> </w:t>
      </w:r>
      <w:r w:rsidR="005D212C" w:rsidRPr="005D212C">
        <w:rPr>
          <w:sz w:val="22"/>
          <w:szCs w:val="22"/>
        </w:rPr>
        <w:t>all divisions and continuations of these applications, all patents issuing from these applications, divisions, and continuations, and any reissues, reexaminations, and extensions of these patents</w:t>
      </w:r>
      <w:r w:rsidR="00315A69">
        <w:rPr>
          <w:sz w:val="22"/>
          <w:szCs w:val="22"/>
        </w:rPr>
        <w:t>,</w:t>
      </w:r>
      <w:r w:rsidR="00315A69" w:rsidRPr="00C77CF5">
        <w:rPr>
          <w:bCs/>
          <w:sz w:val="22"/>
          <w:szCs w:val="22"/>
        </w:rPr>
        <w:t xml:space="preserve"> </w:t>
      </w:r>
      <w:r w:rsidR="002B1848" w:rsidRPr="00C77CF5">
        <w:rPr>
          <w:bCs/>
          <w:sz w:val="22"/>
          <w:szCs w:val="22"/>
        </w:rPr>
        <w:t>owned by the US Government and managed by the National Institutes of Health (NIH) Office of Technology Transfer</w:t>
      </w:r>
      <w:r w:rsidRPr="00C77CF5">
        <w:rPr>
          <w:bCs/>
          <w:sz w:val="22"/>
          <w:szCs w:val="22"/>
        </w:rPr>
        <w:t xml:space="preserve">, </w:t>
      </w:r>
      <w:r w:rsidR="00600CD0">
        <w:rPr>
          <w:bCs/>
          <w:sz w:val="22"/>
          <w:szCs w:val="22"/>
        </w:rPr>
        <w:t xml:space="preserve">i.e. inventions </w:t>
      </w:r>
      <w:r w:rsidR="002B1848" w:rsidRPr="00C77CF5">
        <w:rPr>
          <w:bCs/>
          <w:sz w:val="22"/>
          <w:szCs w:val="22"/>
        </w:rPr>
        <w:t>made by NIH and FDA intramural scientist</w:t>
      </w:r>
      <w:r w:rsidR="00F83313" w:rsidRPr="00C77CF5">
        <w:rPr>
          <w:bCs/>
          <w:sz w:val="22"/>
          <w:szCs w:val="22"/>
        </w:rPr>
        <w:t>s</w:t>
      </w:r>
      <w:r w:rsidR="00600CD0">
        <w:rPr>
          <w:bCs/>
          <w:sz w:val="22"/>
          <w:szCs w:val="22"/>
        </w:rPr>
        <w:t xml:space="preserve"> or co-invented with other institutions when OTT has the licensing lead</w:t>
      </w:r>
      <w:r w:rsidR="00156136">
        <w:rPr>
          <w:bCs/>
          <w:sz w:val="22"/>
          <w:szCs w:val="22"/>
        </w:rPr>
        <w:t>;</w:t>
      </w:r>
      <w:r w:rsidR="00600CD0">
        <w:rPr>
          <w:bCs/>
          <w:sz w:val="22"/>
          <w:szCs w:val="22"/>
        </w:rPr>
        <w:t xml:space="preserve"> (2)</w:t>
      </w:r>
      <w:r w:rsidR="00156136">
        <w:rPr>
          <w:bCs/>
          <w:sz w:val="22"/>
          <w:szCs w:val="22"/>
        </w:rPr>
        <w:t xml:space="preserve"> licenses to u</w:t>
      </w:r>
      <w:r w:rsidR="009F4C0F">
        <w:rPr>
          <w:bCs/>
          <w:sz w:val="22"/>
          <w:szCs w:val="22"/>
        </w:rPr>
        <w:t>npatented biological materials</w:t>
      </w:r>
      <w:r w:rsidR="00156136">
        <w:rPr>
          <w:bCs/>
          <w:sz w:val="22"/>
          <w:szCs w:val="22"/>
        </w:rPr>
        <w:t xml:space="preserve"> developed by NIH or FDA intramural scientists</w:t>
      </w:r>
      <w:r w:rsidR="00AF314D">
        <w:rPr>
          <w:bCs/>
          <w:sz w:val="22"/>
          <w:szCs w:val="22"/>
        </w:rPr>
        <w:t xml:space="preserve"> and used in the production or sale of a product or service</w:t>
      </w:r>
      <w:r w:rsidR="00156136">
        <w:rPr>
          <w:bCs/>
          <w:sz w:val="22"/>
          <w:szCs w:val="22"/>
        </w:rPr>
        <w:t>.</w:t>
      </w:r>
      <w:r w:rsidR="00313BBC">
        <w:rPr>
          <w:bCs/>
          <w:sz w:val="22"/>
          <w:szCs w:val="22"/>
        </w:rPr>
        <w:t xml:space="preserve">  </w:t>
      </w:r>
      <w:r w:rsidR="00313BBC">
        <w:rPr>
          <w:sz w:val="22"/>
          <w:szCs w:val="22"/>
        </w:rPr>
        <w:t xml:space="preserve">Licenses are subject to </w:t>
      </w:r>
      <w:r w:rsidR="00600CD0">
        <w:rPr>
          <w:sz w:val="22"/>
          <w:szCs w:val="22"/>
        </w:rPr>
        <w:t xml:space="preserve">statutory rights </w:t>
      </w:r>
      <w:r w:rsidR="00313BBC">
        <w:rPr>
          <w:sz w:val="22"/>
          <w:szCs w:val="22"/>
        </w:rPr>
        <w:t>r</w:t>
      </w:r>
      <w:r w:rsidR="00313BBC" w:rsidRPr="00500A0E">
        <w:rPr>
          <w:sz w:val="22"/>
          <w:szCs w:val="22"/>
        </w:rPr>
        <w:t xml:space="preserve">eserved </w:t>
      </w:r>
      <w:r w:rsidR="00600CD0">
        <w:rPr>
          <w:sz w:val="22"/>
          <w:szCs w:val="22"/>
        </w:rPr>
        <w:t xml:space="preserve">by the </w:t>
      </w:r>
      <w:r w:rsidR="00313BBC">
        <w:rPr>
          <w:sz w:val="22"/>
          <w:szCs w:val="22"/>
        </w:rPr>
        <w:t>U.S. G</w:t>
      </w:r>
      <w:r w:rsidR="00313BBC" w:rsidRPr="00500A0E">
        <w:rPr>
          <w:sz w:val="22"/>
          <w:szCs w:val="22"/>
        </w:rPr>
        <w:t>overnment.</w:t>
      </w:r>
    </w:p>
    <w:p w:rsidR="00A56592" w:rsidRPr="00C05EC1" w:rsidRDefault="00A56592" w:rsidP="00A56592">
      <w:pPr>
        <w:pStyle w:val="Default"/>
        <w:rPr>
          <w:bCs/>
          <w:sz w:val="22"/>
          <w:szCs w:val="22"/>
        </w:rPr>
      </w:pPr>
    </w:p>
    <w:p w:rsidR="00A56592" w:rsidRPr="00705F47" w:rsidRDefault="00F94FA0" w:rsidP="00A565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FINANCIAL </w:t>
      </w:r>
      <w:r w:rsidR="00A56592" w:rsidRPr="00705F47">
        <w:rPr>
          <w:b/>
          <w:bCs/>
          <w:sz w:val="22"/>
          <w:szCs w:val="22"/>
        </w:rPr>
        <w:t>TERMS:</w:t>
      </w:r>
      <w:r w:rsidR="00A56592" w:rsidRPr="00C05EC1">
        <w:rPr>
          <w:bCs/>
          <w:sz w:val="22"/>
          <w:szCs w:val="22"/>
        </w:rPr>
        <w:t xml:space="preserve"> </w:t>
      </w:r>
      <w:r w:rsidR="00C05EC1" w:rsidRPr="00C05EC1">
        <w:rPr>
          <w:bCs/>
          <w:sz w:val="22"/>
          <w:szCs w:val="22"/>
        </w:rPr>
        <w:t xml:space="preserve"> </w:t>
      </w:r>
    </w:p>
    <w:p w:rsidR="008C3774" w:rsidRPr="00C05EC1" w:rsidRDefault="008C3774" w:rsidP="00A56592">
      <w:pPr>
        <w:pStyle w:val="Default"/>
        <w:rPr>
          <w:bCs/>
          <w:sz w:val="22"/>
          <w:szCs w:val="22"/>
        </w:rPr>
      </w:pPr>
    </w:p>
    <w:p w:rsidR="00A56592" w:rsidRPr="00705F47" w:rsidRDefault="00A56592" w:rsidP="004C35A8">
      <w:pPr>
        <w:pStyle w:val="Default"/>
        <w:rPr>
          <w:sz w:val="22"/>
          <w:szCs w:val="22"/>
        </w:rPr>
      </w:pPr>
      <w:r w:rsidRPr="00500A0E">
        <w:rPr>
          <w:b/>
          <w:bCs/>
          <w:i/>
          <w:iCs/>
          <w:sz w:val="22"/>
          <w:szCs w:val="22"/>
        </w:rPr>
        <w:t>Patent Expenses:</w:t>
      </w:r>
      <w:r w:rsidRPr="00C05EC1">
        <w:rPr>
          <w:bCs/>
          <w:iCs/>
          <w:sz w:val="22"/>
          <w:szCs w:val="22"/>
        </w:rPr>
        <w:t xml:space="preserve"> </w:t>
      </w:r>
      <w:r w:rsidR="00C05EC1" w:rsidRPr="00C05EC1">
        <w:rPr>
          <w:bCs/>
          <w:iCs/>
          <w:sz w:val="22"/>
          <w:szCs w:val="22"/>
        </w:rPr>
        <w:t xml:space="preserve"> </w:t>
      </w:r>
      <w:r w:rsidR="00F94FA0">
        <w:rPr>
          <w:sz w:val="22"/>
          <w:szCs w:val="22"/>
        </w:rPr>
        <w:t xml:space="preserve">Exclusive </w:t>
      </w:r>
      <w:r w:rsidR="00EF6BA9">
        <w:rPr>
          <w:sz w:val="22"/>
          <w:szCs w:val="22"/>
        </w:rPr>
        <w:t>Licensee</w:t>
      </w:r>
      <w:r w:rsidR="00F94FA0">
        <w:rPr>
          <w:sz w:val="22"/>
          <w:szCs w:val="22"/>
        </w:rPr>
        <w:t>s</w:t>
      </w:r>
      <w:r w:rsidRPr="00500A0E">
        <w:rPr>
          <w:sz w:val="22"/>
          <w:szCs w:val="22"/>
        </w:rPr>
        <w:t xml:space="preserve"> will reimburse </w:t>
      </w:r>
      <w:r w:rsidR="008C3774">
        <w:rPr>
          <w:sz w:val="22"/>
          <w:szCs w:val="22"/>
        </w:rPr>
        <w:t>NIH</w:t>
      </w:r>
      <w:r w:rsidRPr="00500A0E">
        <w:rPr>
          <w:sz w:val="22"/>
          <w:szCs w:val="22"/>
        </w:rPr>
        <w:t xml:space="preserve"> for </w:t>
      </w:r>
      <w:r w:rsidR="00A20D64">
        <w:rPr>
          <w:sz w:val="22"/>
          <w:szCs w:val="22"/>
        </w:rPr>
        <w:t xml:space="preserve">up to </w:t>
      </w:r>
      <w:r w:rsidRPr="00500A0E">
        <w:rPr>
          <w:sz w:val="22"/>
          <w:szCs w:val="22"/>
        </w:rPr>
        <w:t xml:space="preserve">50% of patent expenses </w:t>
      </w:r>
      <w:r w:rsidR="00817DBA">
        <w:rPr>
          <w:sz w:val="22"/>
          <w:szCs w:val="22"/>
        </w:rPr>
        <w:t xml:space="preserve">and annuities </w:t>
      </w:r>
      <w:r w:rsidR="00E344F4">
        <w:rPr>
          <w:sz w:val="22"/>
          <w:szCs w:val="22"/>
        </w:rPr>
        <w:t xml:space="preserve">for licensed territories </w:t>
      </w:r>
      <w:r w:rsidR="006445B0" w:rsidRPr="006445B0">
        <w:rPr>
          <w:sz w:val="22"/>
          <w:szCs w:val="22"/>
          <w:u w:val="single"/>
        </w:rPr>
        <w:t>incurred after the Effective Date</w:t>
      </w:r>
      <w:r>
        <w:rPr>
          <w:sz w:val="22"/>
          <w:szCs w:val="22"/>
        </w:rPr>
        <w:t xml:space="preserve"> of the </w:t>
      </w:r>
      <w:r w:rsidR="00DE2ADE">
        <w:rPr>
          <w:sz w:val="22"/>
          <w:szCs w:val="22"/>
        </w:rPr>
        <w:t xml:space="preserve">Exclusive </w:t>
      </w:r>
      <w:r>
        <w:rPr>
          <w:sz w:val="22"/>
          <w:szCs w:val="22"/>
        </w:rPr>
        <w:t>Commercialization License</w:t>
      </w:r>
      <w:r w:rsidR="00AF314D">
        <w:rPr>
          <w:sz w:val="22"/>
          <w:szCs w:val="22"/>
        </w:rPr>
        <w:t xml:space="preserve"> </w:t>
      </w:r>
      <w:r w:rsidR="00A20D64">
        <w:rPr>
          <w:sz w:val="22"/>
          <w:szCs w:val="22"/>
        </w:rPr>
        <w:t>depending on the potential market and scope of license</w:t>
      </w:r>
      <w:r w:rsidRPr="00705F47">
        <w:rPr>
          <w:sz w:val="22"/>
          <w:szCs w:val="22"/>
        </w:rPr>
        <w:t xml:space="preserve">. </w:t>
      </w:r>
      <w:r w:rsidR="00586367">
        <w:rPr>
          <w:sz w:val="22"/>
          <w:szCs w:val="22"/>
        </w:rPr>
        <w:t xml:space="preserve"> </w:t>
      </w:r>
      <w:r w:rsidR="00F94FA0">
        <w:rPr>
          <w:sz w:val="22"/>
          <w:szCs w:val="22"/>
        </w:rPr>
        <w:t>N</w:t>
      </w:r>
      <w:r w:rsidR="00761641">
        <w:rPr>
          <w:sz w:val="22"/>
          <w:szCs w:val="22"/>
        </w:rPr>
        <w:t>on-exclusive license</w:t>
      </w:r>
      <w:r w:rsidR="00F94FA0">
        <w:rPr>
          <w:sz w:val="22"/>
          <w:szCs w:val="22"/>
        </w:rPr>
        <w:t>es of a patent or patent family</w:t>
      </w:r>
      <w:r w:rsidR="00761641">
        <w:rPr>
          <w:sz w:val="22"/>
          <w:szCs w:val="22"/>
        </w:rPr>
        <w:t xml:space="preserve"> will </w:t>
      </w:r>
      <w:r w:rsidR="00E344F4">
        <w:rPr>
          <w:sz w:val="22"/>
          <w:szCs w:val="22"/>
        </w:rPr>
        <w:t>divide</w:t>
      </w:r>
      <w:r w:rsidR="00473885" w:rsidRPr="00473885">
        <w:rPr>
          <w:sz w:val="22"/>
          <w:szCs w:val="22"/>
        </w:rPr>
        <w:t xml:space="preserve"> </w:t>
      </w:r>
      <w:r w:rsidR="00473885">
        <w:rPr>
          <w:sz w:val="22"/>
          <w:szCs w:val="22"/>
        </w:rPr>
        <w:t>equally</w:t>
      </w:r>
      <w:r w:rsidR="00E344F4">
        <w:rPr>
          <w:sz w:val="22"/>
          <w:szCs w:val="22"/>
        </w:rPr>
        <w:t xml:space="preserve"> the</w:t>
      </w:r>
      <w:r w:rsidR="00761641">
        <w:rPr>
          <w:sz w:val="22"/>
          <w:szCs w:val="22"/>
        </w:rPr>
        <w:t xml:space="preserve"> </w:t>
      </w:r>
      <w:r w:rsidR="00E344F4" w:rsidRPr="00500A0E">
        <w:rPr>
          <w:sz w:val="22"/>
          <w:szCs w:val="22"/>
        </w:rPr>
        <w:t>reimburse</w:t>
      </w:r>
      <w:r w:rsidR="00E344F4">
        <w:rPr>
          <w:sz w:val="22"/>
          <w:szCs w:val="22"/>
        </w:rPr>
        <w:t>ment to NIH</w:t>
      </w:r>
      <w:r w:rsidR="00E344F4" w:rsidRPr="00500A0E">
        <w:rPr>
          <w:sz w:val="22"/>
          <w:szCs w:val="22"/>
        </w:rPr>
        <w:t xml:space="preserve"> for </w:t>
      </w:r>
      <w:r w:rsidR="00E344F4">
        <w:rPr>
          <w:sz w:val="22"/>
          <w:szCs w:val="22"/>
        </w:rPr>
        <w:t xml:space="preserve">up to </w:t>
      </w:r>
      <w:r w:rsidR="00E344F4" w:rsidRPr="00500A0E">
        <w:rPr>
          <w:sz w:val="22"/>
          <w:szCs w:val="22"/>
        </w:rPr>
        <w:t xml:space="preserve">50% of patent expenses </w:t>
      </w:r>
      <w:r w:rsidR="00E344F4">
        <w:rPr>
          <w:sz w:val="22"/>
          <w:szCs w:val="22"/>
        </w:rPr>
        <w:t xml:space="preserve">and annuities for licensed territories </w:t>
      </w:r>
      <w:r w:rsidR="00E344F4" w:rsidRPr="006445B0">
        <w:rPr>
          <w:sz w:val="22"/>
          <w:szCs w:val="22"/>
          <w:u w:val="single"/>
        </w:rPr>
        <w:t>incurred after the Effective Date</w:t>
      </w:r>
      <w:r w:rsidR="00E344F4">
        <w:rPr>
          <w:sz w:val="22"/>
          <w:szCs w:val="22"/>
        </w:rPr>
        <w:t xml:space="preserve"> of the Non-Exclusive Commercialization License depending on the potential market and scope of license.</w:t>
      </w:r>
    </w:p>
    <w:p w:rsidR="00077021" w:rsidRPr="00705F47" w:rsidRDefault="00077021" w:rsidP="00A56592">
      <w:pPr>
        <w:pStyle w:val="Default"/>
        <w:rPr>
          <w:sz w:val="22"/>
          <w:szCs w:val="22"/>
        </w:rPr>
      </w:pPr>
    </w:p>
    <w:p w:rsidR="00A56592" w:rsidRDefault="00A56592" w:rsidP="00A56592">
      <w:pPr>
        <w:pStyle w:val="Default"/>
        <w:rPr>
          <w:bCs/>
          <w:sz w:val="22"/>
          <w:szCs w:val="22"/>
        </w:rPr>
      </w:pPr>
      <w:r w:rsidRPr="00705F47">
        <w:rPr>
          <w:b/>
          <w:bCs/>
          <w:i/>
          <w:iCs/>
          <w:sz w:val="22"/>
          <w:szCs w:val="22"/>
        </w:rPr>
        <w:t>License Fee:</w:t>
      </w:r>
      <w:r w:rsidRPr="00C05EC1">
        <w:rPr>
          <w:bCs/>
          <w:iCs/>
          <w:sz w:val="22"/>
          <w:szCs w:val="22"/>
        </w:rPr>
        <w:t xml:space="preserve"> </w:t>
      </w:r>
      <w:r w:rsidR="00C05EC1" w:rsidRPr="00C05EC1">
        <w:rPr>
          <w:bCs/>
          <w:iCs/>
          <w:sz w:val="22"/>
          <w:szCs w:val="22"/>
        </w:rPr>
        <w:t xml:space="preserve"> </w:t>
      </w:r>
      <w:r w:rsidR="004C35A8">
        <w:rPr>
          <w:bCs/>
          <w:sz w:val="22"/>
          <w:szCs w:val="22"/>
        </w:rPr>
        <w:t>$2,000 up front fee</w:t>
      </w:r>
      <w:r w:rsidR="00F94FA0">
        <w:rPr>
          <w:bCs/>
          <w:sz w:val="22"/>
          <w:szCs w:val="22"/>
        </w:rPr>
        <w:t>.</w:t>
      </w:r>
      <w:r w:rsidR="004C35A8">
        <w:rPr>
          <w:bCs/>
          <w:sz w:val="22"/>
          <w:szCs w:val="22"/>
        </w:rPr>
        <w:t xml:space="preserve">  </w:t>
      </w:r>
      <w:r w:rsidR="00AF314D">
        <w:rPr>
          <w:bCs/>
          <w:sz w:val="22"/>
          <w:szCs w:val="22"/>
        </w:rPr>
        <w:t>For biological materials, upfront costs may include the cost of providing the materials.</w:t>
      </w:r>
    </w:p>
    <w:p w:rsidR="003B42B4" w:rsidRPr="00C05EC1" w:rsidRDefault="003B42B4">
      <w:pPr>
        <w:pStyle w:val="Default"/>
        <w:tabs>
          <w:tab w:val="left" w:pos="7143"/>
        </w:tabs>
        <w:rPr>
          <w:bCs/>
          <w:iCs/>
          <w:sz w:val="22"/>
          <w:szCs w:val="22"/>
        </w:rPr>
      </w:pPr>
    </w:p>
    <w:p w:rsidR="005637BD" w:rsidRPr="00C05EC1" w:rsidRDefault="00586367" w:rsidP="00A56592">
      <w:pPr>
        <w:pStyle w:val="Default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Royalty:</w:t>
      </w:r>
      <w:r w:rsidR="001B3B86" w:rsidRPr="00C05EC1">
        <w:rPr>
          <w:bCs/>
          <w:iCs/>
          <w:sz w:val="22"/>
          <w:szCs w:val="22"/>
        </w:rPr>
        <w:t xml:space="preserve"> </w:t>
      </w:r>
      <w:r w:rsidR="00C05EC1" w:rsidRPr="00C05EC1">
        <w:rPr>
          <w:bCs/>
          <w:iCs/>
          <w:sz w:val="22"/>
          <w:szCs w:val="22"/>
        </w:rPr>
        <w:t xml:space="preserve"> </w:t>
      </w:r>
      <w:r w:rsidR="00A56592">
        <w:rPr>
          <w:sz w:val="22"/>
          <w:szCs w:val="22"/>
        </w:rPr>
        <w:t>1.5</w:t>
      </w:r>
      <w:r w:rsidR="00AF314D">
        <w:rPr>
          <w:sz w:val="22"/>
          <w:szCs w:val="22"/>
        </w:rPr>
        <w:t xml:space="preserve"> % (Exclusive) or 0.75% (Nonexclusive) of Licensee’s</w:t>
      </w:r>
      <w:r w:rsidR="00EC4F00">
        <w:rPr>
          <w:sz w:val="22"/>
          <w:szCs w:val="22"/>
        </w:rPr>
        <w:t xml:space="preserve"> </w:t>
      </w:r>
      <w:r w:rsidR="00A56592" w:rsidRPr="00705F47">
        <w:rPr>
          <w:sz w:val="22"/>
          <w:szCs w:val="22"/>
        </w:rPr>
        <w:t>Net</w:t>
      </w:r>
      <w:r w:rsidR="00EC4F00">
        <w:rPr>
          <w:sz w:val="22"/>
          <w:szCs w:val="22"/>
        </w:rPr>
        <w:t xml:space="preserve"> Direct</w:t>
      </w:r>
      <w:r w:rsidR="00A56592" w:rsidRPr="00705F47">
        <w:rPr>
          <w:sz w:val="22"/>
          <w:szCs w:val="22"/>
        </w:rPr>
        <w:t xml:space="preserve"> Sales of </w:t>
      </w:r>
      <w:r w:rsidR="00A56592">
        <w:rPr>
          <w:sz w:val="22"/>
          <w:szCs w:val="22"/>
        </w:rPr>
        <w:t xml:space="preserve">Licensed </w:t>
      </w:r>
      <w:r w:rsidR="00A56592" w:rsidRPr="00705F47">
        <w:rPr>
          <w:sz w:val="22"/>
          <w:szCs w:val="22"/>
        </w:rPr>
        <w:t>Product</w:t>
      </w:r>
      <w:r w:rsidR="00AC7B04">
        <w:rPr>
          <w:sz w:val="22"/>
          <w:szCs w:val="22"/>
        </w:rPr>
        <w:t>(</w:t>
      </w:r>
      <w:r w:rsidR="00A56592">
        <w:rPr>
          <w:sz w:val="22"/>
          <w:szCs w:val="22"/>
        </w:rPr>
        <w:t>s</w:t>
      </w:r>
      <w:r w:rsidR="00AC7B04">
        <w:rPr>
          <w:sz w:val="22"/>
          <w:szCs w:val="22"/>
        </w:rPr>
        <w:t>)</w:t>
      </w:r>
      <w:r w:rsidR="00A56592" w:rsidRPr="00705F47">
        <w:rPr>
          <w:sz w:val="22"/>
          <w:szCs w:val="22"/>
        </w:rPr>
        <w:t xml:space="preserve"> </w:t>
      </w:r>
      <w:r w:rsidR="00AC7B04">
        <w:rPr>
          <w:sz w:val="22"/>
          <w:szCs w:val="22"/>
        </w:rPr>
        <w:t>or Process(es)</w:t>
      </w:r>
      <w:r w:rsidR="00EC4F00">
        <w:rPr>
          <w:sz w:val="22"/>
          <w:szCs w:val="22"/>
        </w:rPr>
        <w:t xml:space="preserve"> excluding sales to public sector</w:t>
      </w:r>
      <w:r w:rsidR="00AF314D">
        <w:rPr>
          <w:sz w:val="22"/>
          <w:szCs w:val="22"/>
        </w:rPr>
        <w:t xml:space="preserve"> institutions</w:t>
      </w:r>
      <w:r w:rsidR="003B42B4" w:rsidRPr="003B42B4">
        <w:t xml:space="preserve"> </w:t>
      </w:r>
      <w:r w:rsidR="005D212C" w:rsidRPr="005D212C">
        <w:rPr>
          <w:sz w:val="22"/>
          <w:szCs w:val="22"/>
        </w:rPr>
        <w:t>or to institutions using public-sector funds (such as PEPFAR or Global Fund)</w:t>
      </w:r>
    </w:p>
    <w:p w:rsidR="00936B50" w:rsidRPr="00C05EC1" w:rsidRDefault="00936B50" w:rsidP="00A56592">
      <w:pPr>
        <w:pStyle w:val="Default"/>
        <w:rPr>
          <w:bCs/>
          <w:iCs/>
          <w:sz w:val="22"/>
          <w:szCs w:val="22"/>
        </w:rPr>
      </w:pPr>
    </w:p>
    <w:p w:rsidR="00A56592" w:rsidRPr="00705F47" w:rsidRDefault="00A56592" w:rsidP="00A56592">
      <w:pPr>
        <w:pStyle w:val="Default"/>
        <w:rPr>
          <w:sz w:val="22"/>
          <w:szCs w:val="22"/>
        </w:rPr>
      </w:pPr>
      <w:r w:rsidRPr="00705F47">
        <w:rPr>
          <w:b/>
          <w:bCs/>
          <w:i/>
          <w:iCs/>
          <w:sz w:val="22"/>
          <w:szCs w:val="22"/>
        </w:rPr>
        <w:t>Sublicens</w:t>
      </w:r>
      <w:r w:rsidR="00F94FA0">
        <w:rPr>
          <w:b/>
          <w:bCs/>
          <w:i/>
          <w:iCs/>
          <w:sz w:val="22"/>
          <w:szCs w:val="22"/>
        </w:rPr>
        <w:t>e</w:t>
      </w:r>
      <w:r w:rsidRPr="00705F47">
        <w:rPr>
          <w:b/>
          <w:bCs/>
          <w:i/>
          <w:iCs/>
          <w:sz w:val="22"/>
          <w:szCs w:val="22"/>
        </w:rPr>
        <w:t>:</w:t>
      </w:r>
      <w:r w:rsidRPr="00C05EC1">
        <w:rPr>
          <w:bCs/>
          <w:i/>
          <w:iCs/>
          <w:sz w:val="22"/>
          <w:szCs w:val="22"/>
        </w:rPr>
        <w:t xml:space="preserve"> </w:t>
      </w:r>
      <w:r w:rsidR="00C05EC1" w:rsidRPr="00C05EC1">
        <w:rPr>
          <w:bCs/>
          <w:i/>
          <w:iCs/>
          <w:sz w:val="22"/>
          <w:szCs w:val="22"/>
        </w:rPr>
        <w:t xml:space="preserve"> </w:t>
      </w:r>
    </w:p>
    <w:p w:rsidR="00C005E2" w:rsidRDefault="00586367" w:rsidP="00A565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Exclusive: </w:t>
      </w:r>
      <w:r w:rsidR="006149DF">
        <w:rPr>
          <w:sz w:val="22"/>
          <w:szCs w:val="22"/>
        </w:rPr>
        <w:t>15% (</w:t>
      </w:r>
      <w:r w:rsidR="004C35A8">
        <w:rPr>
          <w:sz w:val="22"/>
          <w:szCs w:val="22"/>
        </w:rPr>
        <w:t>which</w:t>
      </w:r>
      <w:r w:rsidR="006149DF">
        <w:rPr>
          <w:sz w:val="22"/>
          <w:szCs w:val="22"/>
        </w:rPr>
        <w:t xml:space="preserve"> NIH </w:t>
      </w:r>
      <w:r w:rsidR="004C35A8">
        <w:rPr>
          <w:sz w:val="22"/>
          <w:szCs w:val="22"/>
        </w:rPr>
        <w:t xml:space="preserve">can attribute first to </w:t>
      </w:r>
      <w:r w:rsidR="006149DF">
        <w:rPr>
          <w:sz w:val="22"/>
          <w:szCs w:val="22"/>
        </w:rPr>
        <w:t xml:space="preserve">patent expenses) if NIH has provided in vivo </w:t>
      </w:r>
      <w:r w:rsidR="004C35A8">
        <w:rPr>
          <w:sz w:val="22"/>
          <w:szCs w:val="22"/>
        </w:rPr>
        <w:t xml:space="preserve">model </w:t>
      </w:r>
      <w:r w:rsidR="006149DF">
        <w:rPr>
          <w:sz w:val="22"/>
          <w:szCs w:val="22"/>
        </w:rPr>
        <w:t>data</w:t>
      </w:r>
    </w:p>
    <w:p w:rsidR="00C005E2" w:rsidRDefault="004C35A8" w:rsidP="004C35A8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149DF">
        <w:rPr>
          <w:sz w:val="22"/>
          <w:szCs w:val="22"/>
        </w:rPr>
        <w:t xml:space="preserve">10% </w:t>
      </w:r>
      <w:r w:rsidR="00EC4F00">
        <w:rPr>
          <w:sz w:val="22"/>
          <w:szCs w:val="22"/>
        </w:rPr>
        <w:t>(</w:t>
      </w:r>
      <w:r>
        <w:rPr>
          <w:sz w:val="22"/>
          <w:szCs w:val="22"/>
        </w:rPr>
        <w:t>which NIH can</w:t>
      </w:r>
      <w:r w:rsidRPr="004C35A8">
        <w:rPr>
          <w:sz w:val="22"/>
          <w:szCs w:val="22"/>
        </w:rPr>
        <w:t xml:space="preserve"> </w:t>
      </w:r>
      <w:r>
        <w:rPr>
          <w:sz w:val="22"/>
          <w:szCs w:val="22"/>
        </w:rPr>
        <w:t>attribute first to</w:t>
      </w:r>
      <w:r w:rsidR="00EC4F00">
        <w:rPr>
          <w:sz w:val="22"/>
          <w:szCs w:val="22"/>
        </w:rPr>
        <w:t xml:space="preserve"> patent expenses) </w:t>
      </w:r>
      <w:r w:rsidR="006149DF">
        <w:rPr>
          <w:sz w:val="22"/>
          <w:szCs w:val="22"/>
        </w:rPr>
        <w:t>if NIH had not provided in vivo model data</w:t>
      </w:r>
    </w:p>
    <w:p w:rsidR="00AF314D" w:rsidRDefault="00586367" w:rsidP="00AF314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Nonexclusive: </w:t>
      </w:r>
      <w:r w:rsidR="00AF314D">
        <w:rPr>
          <w:sz w:val="22"/>
          <w:szCs w:val="22"/>
        </w:rPr>
        <w:t>Half these amounts</w:t>
      </w:r>
    </w:p>
    <w:p w:rsidR="0081771B" w:rsidRPr="00C05EC1" w:rsidRDefault="0081771B" w:rsidP="0081771B">
      <w:pPr>
        <w:pStyle w:val="Default"/>
        <w:rPr>
          <w:bCs/>
          <w:i/>
          <w:iCs/>
          <w:sz w:val="22"/>
          <w:szCs w:val="22"/>
        </w:rPr>
      </w:pPr>
    </w:p>
    <w:p w:rsidR="0081771B" w:rsidRPr="00705F47" w:rsidRDefault="00586367" w:rsidP="0081771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Milestone Payments:</w:t>
      </w:r>
      <w:r w:rsidR="001B3B86" w:rsidRPr="00C05EC1">
        <w:rPr>
          <w:bCs/>
          <w:iCs/>
          <w:sz w:val="22"/>
          <w:szCs w:val="22"/>
        </w:rPr>
        <w:t xml:space="preserve"> </w:t>
      </w:r>
      <w:r w:rsidR="00C05EC1" w:rsidRPr="00C05EC1">
        <w:rPr>
          <w:bCs/>
          <w:iCs/>
          <w:sz w:val="22"/>
          <w:szCs w:val="22"/>
        </w:rPr>
        <w:t xml:space="preserve"> </w:t>
      </w:r>
      <w:r w:rsidR="0081771B" w:rsidRPr="00705F47">
        <w:rPr>
          <w:sz w:val="22"/>
          <w:szCs w:val="22"/>
        </w:rPr>
        <w:t xml:space="preserve">None.  </w:t>
      </w:r>
      <w:r w:rsidR="0081771B">
        <w:rPr>
          <w:sz w:val="22"/>
          <w:szCs w:val="22"/>
        </w:rPr>
        <w:t xml:space="preserve">Enforceable </w:t>
      </w:r>
      <w:r w:rsidR="0081771B" w:rsidRPr="00705F47">
        <w:rPr>
          <w:sz w:val="22"/>
          <w:szCs w:val="22"/>
        </w:rPr>
        <w:t xml:space="preserve">performance </w:t>
      </w:r>
      <w:r w:rsidR="0081771B">
        <w:rPr>
          <w:sz w:val="22"/>
          <w:szCs w:val="22"/>
        </w:rPr>
        <w:t xml:space="preserve">(diligence) </w:t>
      </w:r>
      <w:r w:rsidR="0081771B" w:rsidRPr="00705F47">
        <w:rPr>
          <w:sz w:val="22"/>
          <w:szCs w:val="22"/>
        </w:rPr>
        <w:t>milestones are required</w:t>
      </w:r>
      <w:r w:rsidR="0081771B">
        <w:rPr>
          <w:sz w:val="22"/>
          <w:szCs w:val="22"/>
        </w:rPr>
        <w:t xml:space="preserve"> based on the specific elements of the Development Plan.</w:t>
      </w:r>
    </w:p>
    <w:p w:rsidR="00AF314D" w:rsidRPr="00C05EC1" w:rsidRDefault="00AF314D" w:rsidP="00A56592">
      <w:pPr>
        <w:pStyle w:val="Default"/>
        <w:rPr>
          <w:sz w:val="22"/>
          <w:szCs w:val="22"/>
          <w:u w:val="single"/>
        </w:rPr>
      </w:pPr>
    </w:p>
    <w:p w:rsidR="0081771B" w:rsidRPr="001B3B86" w:rsidRDefault="0081771B" w:rsidP="0081771B">
      <w:pPr>
        <w:pStyle w:val="default0"/>
        <w:rPr>
          <w:color w:val="auto"/>
          <w:sz w:val="22"/>
          <w:szCs w:val="22"/>
        </w:rPr>
      </w:pPr>
      <w:r w:rsidRPr="001B3B86">
        <w:rPr>
          <w:b/>
          <w:i/>
          <w:color w:val="auto"/>
          <w:sz w:val="22"/>
          <w:szCs w:val="22"/>
        </w:rPr>
        <w:t>Minimum Annual Royalty</w:t>
      </w:r>
      <w:r w:rsidR="00586367" w:rsidRPr="00C05EC1">
        <w:rPr>
          <w:b/>
          <w:i/>
          <w:color w:val="auto"/>
          <w:sz w:val="22"/>
          <w:szCs w:val="22"/>
        </w:rPr>
        <w:t>:</w:t>
      </w:r>
      <w:r w:rsidR="00586367">
        <w:rPr>
          <w:color w:val="auto"/>
          <w:sz w:val="22"/>
          <w:szCs w:val="22"/>
        </w:rPr>
        <w:t xml:space="preserve"> </w:t>
      </w:r>
      <w:r w:rsidR="00C05EC1">
        <w:rPr>
          <w:color w:val="auto"/>
          <w:sz w:val="22"/>
          <w:szCs w:val="22"/>
        </w:rPr>
        <w:t xml:space="preserve"> </w:t>
      </w:r>
      <w:r w:rsidR="00586367">
        <w:rPr>
          <w:color w:val="auto"/>
          <w:sz w:val="22"/>
          <w:szCs w:val="22"/>
        </w:rPr>
        <w:t>None.</w:t>
      </w:r>
    </w:p>
    <w:p w:rsidR="0081771B" w:rsidRPr="00C05EC1" w:rsidRDefault="0081771B" w:rsidP="00A56592">
      <w:pPr>
        <w:pStyle w:val="Default"/>
        <w:rPr>
          <w:sz w:val="22"/>
          <w:szCs w:val="22"/>
        </w:rPr>
      </w:pPr>
    </w:p>
    <w:p w:rsidR="006B3868" w:rsidRPr="00C05EC1" w:rsidRDefault="00A56592">
      <w:pPr>
        <w:pStyle w:val="CommentText"/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C05EC1">
        <w:rPr>
          <w:rFonts w:ascii="Times New Roman" w:hAnsi="Times New Roman"/>
          <w:b/>
          <w:i/>
          <w:sz w:val="22"/>
          <w:szCs w:val="22"/>
        </w:rPr>
        <w:t>Stacking Royalty Clause</w:t>
      </w:r>
      <w:r w:rsidR="00936B50" w:rsidRPr="00C05EC1">
        <w:rPr>
          <w:rFonts w:ascii="Times New Roman" w:hAnsi="Times New Roman"/>
          <w:b/>
          <w:i/>
          <w:sz w:val="22"/>
          <w:szCs w:val="22"/>
        </w:rPr>
        <w:t>:</w:t>
      </w:r>
      <w:r w:rsidR="001B3B86" w:rsidRPr="00C05EC1">
        <w:rPr>
          <w:rFonts w:ascii="Times New Roman" w:hAnsi="Times New Roman"/>
          <w:sz w:val="22"/>
          <w:szCs w:val="22"/>
        </w:rPr>
        <w:t xml:space="preserve"> </w:t>
      </w:r>
      <w:r w:rsidR="00C05EC1" w:rsidRPr="00C05EC1">
        <w:rPr>
          <w:rFonts w:ascii="Times New Roman" w:hAnsi="Times New Roman"/>
          <w:sz w:val="22"/>
          <w:szCs w:val="22"/>
        </w:rPr>
        <w:t xml:space="preserve"> </w:t>
      </w:r>
      <w:r w:rsidR="005D212C" w:rsidRPr="00C05EC1">
        <w:rPr>
          <w:rFonts w:ascii="Times New Roman" w:hAnsi="Times New Roman"/>
          <w:sz w:val="22"/>
          <w:szCs w:val="22"/>
        </w:rPr>
        <w:t>If Licensee is required to pay royalties to one or more third parties in order to make, use or sell the Licensed Product, then Licensee may deduct 50% of all such royalties paid to such third party from the royalties due to PHS [NIH].  In no event will the royalty payable to NIH be reduced by more than 50%.</w:t>
      </w:r>
    </w:p>
    <w:p w:rsidR="005637BD" w:rsidRPr="00C05EC1" w:rsidRDefault="005637BD" w:rsidP="00227BC3">
      <w:pPr>
        <w:pStyle w:val="Default"/>
        <w:rPr>
          <w:sz w:val="22"/>
          <w:szCs w:val="22"/>
        </w:rPr>
      </w:pPr>
    </w:p>
    <w:p w:rsidR="00195FC2" w:rsidRPr="00AB330B" w:rsidRDefault="005D212C" w:rsidP="00195FC2">
      <w:pPr>
        <w:pStyle w:val="Default"/>
        <w:rPr>
          <w:bCs/>
          <w:sz w:val="22"/>
          <w:szCs w:val="22"/>
        </w:rPr>
      </w:pPr>
      <w:r w:rsidRPr="00AB330B">
        <w:rPr>
          <w:b/>
          <w:bCs/>
          <w:sz w:val="22"/>
          <w:szCs w:val="22"/>
        </w:rPr>
        <w:t>Additional license terms</w:t>
      </w:r>
      <w:r w:rsidR="00F94FA0" w:rsidRPr="00AB330B">
        <w:rPr>
          <w:bCs/>
          <w:sz w:val="22"/>
          <w:szCs w:val="22"/>
        </w:rPr>
        <w:t xml:space="preserve"> will be based on NIH model agreements found at</w:t>
      </w:r>
      <w:r w:rsidR="00936B50" w:rsidRPr="00AB330B">
        <w:rPr>
          <w:bCs/>
          <w:sz w:val="22"/>
          <w:szCs w:val="22"/>
        </w:rPr>
        <w:t xml:space="preserve"> </w:t>
      </w:r>
      <w:hyperlink r:id="rId10" w:history="1">
        <w:r w:rsidR="00AB330B" w:rsidRPr="00AB330B">
          <w:rPr>
            <w:rStyle w:val="Hyperlink"/>
            <w:sz w:val="22"/>
            <w:szCs w:val="22"/>
          </w:rPr>
          <w:t>https://www.ott.nih.gov/resources</w:t>
        </w:r>
      </w:hyperlink>
      <w:r w:rsidR="00054455" w:rsidRPr="00AB330B">
        <w:rPr>
          <w:sz w:val="22"/>
          <w:szCs w:val="22"/>
        </w:rPr>
        <w:t>.</w:t>
      </w:r>
    </w:p>
    <w:p w:rsidR="005637BD" w:rsidRPr="00AB330B" w:rsidRDefault="005637BD" w:rsidP="00227BC3">
      <w:pPr>
        <w:pStyle w:val="Default"/>
        <w:rPr>
          <w:sz w:val="22"/>
          <w:szCs w:val="22"/>
        </w:rPr>
      </w:pPr>
    </w:p>
    <w:p w:rsidR="00C95A99" w:rsidRPr="00AB330B" w:rsidRDefault="00C05EC1" w:rsidP="00C95A99">
      <w:pPr>
        <w:pStyle w:val="Default"/>
        <w:rPr>
          <w:sz w:val="22"/>
          <w:szCs w:val="22"/>
        </w:rPr>
      </w:pPr>
      <w:r w:rsidRPr="00AB330B">
        <w:rPr>
          <w:b/>
          <w:bCs/>
          <w:sz w:val="22"/>
          <w:szCs w:val="22"/>
        </w:rPr>
        <w:t>RELATIONSHIP TO WIPO Re:Search:</w:t>
      </w:r>
      <w:r w:rsidRPr="00AB330B">
        <w:rPr>
          <w:bCs/>
          <w:sz w:val="22"/>
          <w:szCs w:val="22"/>
        </w:rPr>
        <w:t xml:space="preserve"> </w:t>
      </w:r>
      <w:r w:rsidR="00C95A99" w:rsidRPr="00AB330B">
        <w:rPr>
          <w:bCs/>
          <w:sz w:val="22"/>
          <w:szCs w:val="22"/>
        </w:rPr>
        <w:t xml:space="preserve"> </w:t>
      </w:r>
      <w:r w:rsidR="00C95A99" w:rsidRPr="00AB330B">
        <w:rPr>
          <w:sz w:val="22"/>
          <w:szCs w:val="22"/>
        </w:rPr>
        <w:t xml:space="preserve">For technologies NIH has made available through WIPO Re:Search, any commitments to licensing terms under that program will supersede the terms above to </w:t>
      </w:r>
      <w:r w:rsidRPr="00AB330B">
        <w:rPr>
          <w:sz w:val="22"/>
          <w:szCs w:val="22"/>
        </w:rPr>
        <w:t xml:space="preserve">the extent there is overlap. </w:t>
      </w:r>
      <w:r w:rsidR="00C95A99" w:rsidRPr="00AB330B">
        <w:rPr>
          <w:sz w:val="22"/>
          <w:szCs w:val="22"/>
        </w:rPr>
        <w:t xml:space="preserve"> See </w:t>
      </w:r>
      <w:hyperlink r:id="rId11" w:history="1">
        <w:r w:rsidR="00AB330B" w:rsidRPr="00AB330B">
          <w:rPr>
            <w:rStyle w:val="Hyperlink"/>
            <w:sz w:val="22"/>
            <w:szCs w:val="22"/>
          </w:rPr>
          <w:t>http://www.wipo.int/research/en/</w:t>
        </w:r>
      </w:hyperlink>
      <w:r w:rsidR="006B5E02" w:rsidRPr="00AB330B">
        <w:rPr>
          <w:sz w:val="22"/>
          <w:szCs w:val="22"/>
        </w:rPr>
        <w:t>.</w:t>
      </w:r>
    </w:p>
    <w:p w:rsidR="005C544E" w:rsidRPr="00AB330B" w:rsidRDefault="005C544E" w:rsidP="00227BC3">
      <w:pPr>
        <w:pStyle w:val="Default"/>
        <w:rPr>
          <w:sz w:val="22"/>
          <w:szCs w:val="22"/>
        </w:rPr>
      </w:pPr>
    </w:p>
    <w:p w:rsidR="0081771B" w:rsidRPr="00AB330B" w:rsidRDefault="0081771B" w:rsidP="00227BC3">
      <w:pPr>
        <w:pStyle w:val="Default"/>
        <w:rPr>
          <w:sz w:val="22"/>
          <w:szCs w:val="22"/>
        </w:rPr>
      </w:pPr>
      <w:r w:rsidRPr="00AB330B">
        <w:rPr>
          <w:b/>
          <w:sz w:val="22"/>
          <w:szCs w:val="22"/>
        </w:rPr>
        <w:t>CONTACT:</w:t>
      </w:r>
      <w:r w:rsidR="00586367" w:rsidRPr="00AB330B">
        <w:rPr>
          <w:sz w:val="22"/>
          <w:szCs w:val="22"/>
        </w:rPr>
        <w:t xml:space="preserve"> </w:t>
      </w:r>
      <w:r w:rsidR="00DB4C4A" w:rsidRPr="00AB330B">
        <w:rPr>
          <w:sz w:val="22"/>
          <w:szCs w:val="22"/>
        </w:rPr>
        <w:t>F</w:t>
      </w:r>
      <w:r w:rsidRPr="00AB330B">
        <w:rPr>
          <w:sz w:val="22"/>
          <w:szCs w:val="22"/>
        </w:rPr>
        <w:t xml:space="preserve">or a </w:t>
      </w:r>
      <w:r w:rsidR="00586367" w:rsidRPr="00AB330B">
        <w:rPr>
          <w:sz w:val="22"/>
          <w:szCs w:val="22"/>
        </w:rPr>
        <w:t xml:space="preserve">specific </w:t>
      </w:r>
      <w:r w:rsidRPr="00AB330B">
        <w:rPr>
          <w:sz w:val="22"/>
          <w:szCs w:val="22"/>
        </w:rPr>
        <w:t>technology</w:t>
      </w:r>
      <w:r w:rsidR="00586367" w:rsidRPr="00AB330B">
        <w:rPr>
          <w:sz w:val="22"/>
          <w:szCs w:val="22"/>
        </w:rPr>
        <w:t>,</w:t>
      </w:r>
      <w:r w:rsidRPr="00AB330B">
        <w:rPr>
          <w:sz w:val="22"/>
          <w:szCs w:val="22"/>
        </w:rPr>
        <w:t xml:space="preserve"> the Licensing </w:t>
      </w:r>
      <w:r w:rsidR="00586367" w:rsidRPr="00AB330B">
        <w:rPr>
          <w:sz w:val="22"/>
          <w:szCs w:val="22"/>
        </w:rPr>
        <w:t xml:space="preserve">Manager </w:t>
      </w:r>
      <w:r w:rsidRPr="00AB330B">
        <w:rPr>
          <w:sz w:val="22"/>
          <w:szCs w:val="22"/>
        </w:rPr>
        <w:t xml:space="preserve">listed as the contact on the Technology Abstract, see </w:t>
      </w:r>
      <w:hyperlink r:id="rId12" w:history="1">
        <w:r w:rsidR="00AB330B" w:rsidRPr="00AB330B">
          <w:rPr>
            <w:rStyle w:val="Hyperlink"/>
            <w:sz w:val="22"/>
            <w:szCs w:val="22"/>
          </w:rPr>
          <w:t>https://www.ott.nih.gov/opportunities</w:t>
        </w:r>
      </w:hyperlink>
      <w:r w:rsidR="00AB330B" w:rsidRPr="00AB330B">
        <w:rPr>
          <w:sz w:val="22"/>
          <w:szCs w:val="22"/>
        </w:rPr>
        <w:t>.</w:t>
      </w:r>
    </w:p>
    <w:p w:rsidR="00586367" w:rsidRPr="00AB330B" w:rsidRDefault="00586367" w:rsidP="00227BC3">
      <w:pPr>
        <w:pStyle w:val="Default"/>
        <w:rPr>
          <w:sz w:val="22"/>
          <w:szCs w:val="22"/>
        </w:rPr>
      </w:pPr>
    </w:p>
    <w:sectPr w:rsidR="00586367" w:rsidRPr="00AB330B" w:rsidSect="00227B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D7" w:rsidRDefault="000A26D7" w:rsidP="00936B50">
      <w:pPr>
        <w:spacing w:after="0" w:line="240" w:lineRule="auto"/>
      </w:pPr>
      <w:r>
        <w:separator/>
      </w:r>
    </w:p>
  </w:endnote>
  <w:endnote w:type="continuationSeparator" w:id="0">
    <w:p w:rsidR="000A26D7" w:rsidRDefault="000A26D7" w:rsidP="0093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D7" w:rsidRDefault="000A26D7" w:rsidP="00936B50">
      <w:pPr>
        <w:spacing w:after="0" w:line="240" w:lineRule="auto"/>
      </w:pPr>
      <w:r>
        <w:separator/>
      </w:r>
    </w:p>
  </w:footnote>
  <w:footnote w:type="continuationSeparator" w:id="0">
    <w:p w:rsidR="000A26D7" w:rsidRDefault="000A26D7" w:rsidP="00936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B07E1"/>
    <w:multiLevelType w:val="hybridMultilevel"/>
    <w:tmpl w:val="332C72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E4439"/>
    <w:multiLevelType w:val="hybridMultilevel"/>
    <w:tmpl w:val="C96A6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AE2A60"/>
    <w:multiLevelType w:val="hybridMultilevel"/>
    <w:tmpl w:val="A4A61D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C2657C"/>
    <w:multiLevelType w:val="hybridMultilevel"/>
    <w:tmpl w:val="044AE3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4545B"/>
    <w:multiLevelType w:val="hybridMultilevel"/>
    <w:tmpl w:val="CD027C0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7135EE"/>
    <w:multiLevelType w:val="hybridMultilevel"/>
    <w:tmpl w:val="068432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92"/>
    <w:rsid w:val="00002CD0"/>
    <w:rsid w:val="000078E2"/>
    <w:rsid w:val="000113F9"/>
    <w:rsid w:val="00054455"/>
    <w:rsid w:val="00070793"/>
    <w:rsid w:val="00070A9E"/>
    <w:rsid w:val="00077021"/>
    <w:rsid w:val="00080C9D"/>
    <w:rsid w:val="00086DA1"/>
    <w:rsid w:val="000A26D7"/>
    <w:rsid w:val="000E4D51"/>
    <w:rsid w:val="00144A4D"/>
    <w:rsid w:val="0015005B"/>
    <w:rsid w:val="00156136"/>
    <w:rsid w:val="00190B46"/>
    <w:rsid w:val="00195FC2"/>
    <w:rsid w:val="001B25C5"/>
    <w:rsid w:val="001B3B86"/>
    <w:rsid w:val="001B4F18"/>
    <w:rsid w:val="002046E1"/>
    <w:rsid w:val="002158C4"/>
    <w:rsid w:val="002172EB"/>
    <w:rsid w:val="00222728"/>
    <w:rsid w:val="00227BC3"/>
    <w:rsid w:val="00256CD5"/>
    <w:rsid w:val="0026228E"/>
    <w:rsid w:val="002655D4"/>
    <w:rsid w:val="002B1848"/>
    <w:rsid w:val="002E400C"/>
    <w:rsid w:val="002E4FD3"/>
    <w:rsid w:val="00313BBC"/>
    <w:rsid w:val="00315A69"/>
    <w:rsid w:val="003205E8"/>
    <w:rsid w:val="00327BDA"/>
    <w:rsid w:val="003955F2"/>
    <w:rsid w:val="003A6A59"/>
    <w:rsid w:val="003B42B4"/>
    <w:rsid w:val="003B72A5"/>
    <w:rsid w:val="003F45A9"/>
    <w:rsid w:val="0040740D"/>
    <w:rsid w:val="00421723"/>
    <w:rsid w:val="004417AD"/>
    <w:rsid w:val="00441BF3"/>
    <w:rsid w:val="004613AB"/>
    <w:rsid w:val="00470E84"/>
    <w:rsid w:val="00473595"/>
    <w:rsid w:val="00473885"/>
    <w:rsid w:val="004740E6"/>
    <w:rsid w:val="00485F05"/>
    <w:rsid w:val="0049068F"/>
    <w:rsid w:val="00492E30"/>
    <w:rsid w:val="004C0251"/>
    <w:rsid w:val="004C35A8"/>
    <w:rsid w:val="004D0ED4"/>
    <w:rsid w:val="004D3296"/>
    <w:rsid w:val="004D7800"/>
    <w:rsid w:val="004F7B64"/>
    <w:rsid w:val="00500A0E"/>
    <w:rsid w:val="005129D0"/>
    <w:rsid w:val="005637BD"/>
    <w:rsid w:val="00586367"/>
    <w:rsid w:val="005B50EC"/>
    <w:rsid w:val="005C544E"/>
    <w:rsid w:val="005D212C"/>
    <w:rsid w:val="005E07C2"/>
    <w:rsid w:val="005F13C0"/>
    <w:rsid w:val="00600CD0"/>
    <w:rsid w:val="006149DF"/>
    <w:rsid w:val="00623ECD"/>
    <w:rsid w:val="006301A4"/>
    <w:rsid w:val="00637D6D"/>
    <w:rsid w:val="006445B0"/>
    <w:rsid w:val="00651BA4"/>
    <w:rsid w:val="006527AE"/>
    <w:rsid w:val="00655CBB"/>
    <w:rsid w:val="0068088B"/>
    <w:rsid w:val="006B3868"/>
    <w:rsid w:val="006B5E02"/>
    <w:rsid w:val="006D4268"/>
    <w:rsid w:val="006E171D"/>
    <w:rsid w:val="0073467C"/>
    <w:rsid w:val="00754B01"/>
    <w:rsid w:val="00761641"/>
    <w:rsid w:val="00762F70"/>
    <w:rsid w:val="007A1C7F"/>
    <w:rsid w:val="007C4C9B"/>
    <w:rsid w:val="007E03BD"/>
    <w:rsid w:val="0081771B"/>
    <w:rsid w:val="00817DBA"/>
    <w:rsid w:val="00826762"/>
    <w:rsid w:val="00861606"/>
    <w:rsid w:val="0087769E"/>
    <w:rsid w:val="00882D57"/>
    <w:rsid w:val="00887B62"/>
    <w:rsid w:val="008913A1"/>
    <w:rsid w:val="00892A36"/>
    <w:rsid w:val="008A7620"/>
    <w:rsid w:val="008C3774"/>
    <w:rsid w:val="008C74B6"/>
    <w:rsid w:val="008E4E75"/>
    <w:rsid w:val="008F59A2"/>
    <w:rsid w:val="009042EE"/>
    <w:rsid w:val="00924726"/>
    <w:rsid w:val="00936B50"/>
    <w:rsid w:val="00945A6B"/>
    <w:rsid w:val="00957A23"/>
    <w:rsid w:val="00963A24"/>
    <w:rsid w:val="0097070B"/>
    <w:rsid w:val="00975E8F"/>
    <w:rsid w:val="009966DA"/>
    <w:rsid w:val="009C0236"/>
    <w:rsid w:val="009C0657"/>
    <w:rsid w:val="009C403A"/>
    <w:rsid w:val="009D506A"/>
    <w:rsid w:val="009E0173"/>
    <w:rsid w:val="009F4C0F"/>
    <w:rsid w:val="00A1581A"/>
    <w:rsid w:val="00A20D64"/>
    <w:rsid w:val="00A56592"/>
    <w:rsid w:val="00A657C8"/>
    <w:rsid w:val="00A8351F"/>
    <w:rsid w:val="00AB330B"/>
    <w:rsid w:val="00AC7B04"/>
    <w:rsid w:val="00AD125B"/>
    <w:rsid w:val="00AE623A"/>
    <w:rsid w:val="00AF1A88"/>
    <w:rsid w:val="00AF2A2F"/>
    <w:rsid w:val="00AF314D"/>
    <w:rsid w:val="00AF527F"/>
    <w:rsid w:val="00AF5B49"/>
    <w:rsid w:val="00AF5EDB"/>
    <w:rsid w:val="00B10FF4"/>
    <w:rsid w:val="00B12B46"/>
    <w:rsid w:val="00B41735"/>
    <w:rsid w:val="00B46848"/>
    <w:rsid w:val="00B87EC1"/>
    <w:rsid w:val="00B94BB1"/>
    <w:rsid w:val="00BB343A"/>
    <w:rsid w:val="00BC7CBD"/>
    <w:rsid w:val="00BE2F4D"/>
    <w:rsid w:val="00BF0C9D"/>
    <w:rsid w:val="00C005E2"/>
    <w:rsid w:val="00C05EC1"/>
    <w:rsid w:val="00C13FBB"/>
    <w:rsid w:val="00C33409"/>
    <w:rsid w:val="00C50CFC"/>
    <w:rsid w:val="00C763E1"/>
    <w:rsid w:val="00C77CF5"/>
    <w:rsid w:val="00C91A4A"/>
    <w:rsid w:val="00C95A99"/>
    <w:rsid w:val="00CA0853"/>
    <w:rsid w:val="00CA43F4"/>
    <w:rsid w:val="00D21881"/>
    <w:rsid w:val="00D21EC6"/>
    <w:rsid w:val="00D46508"/>
    <w:rsid w:val="00D67A0A"/>
    <w:rsid w:val="00D80D61"/>
    <w:rsid w:val="00D84F01"/>
    <w:rsid w:val="00DB2CE2"/>
    <w:rsid w:val="00DB360C"/>
    <w:rsid w:val="00DB4C4A"/>
    <w:rsid w:val="00DC32D8"/>
    <w:rsid w:val="00DE2ADE"/>
    <w:rsid w:val="00E178F1"/>
    <w:rsid w:val="00E17BD0"/>
    <w:rsid w:val="00E344F4"/>
    <w:rsid w:val="00E37767"/>
    <w:rsid w:val="00E4146F"/>
    <w:rsid w:val="00E41DCC"/>
    <w:rsid w:val="00E5377E"/>
    <w:rsid w:val="00E5586B"/>
    <w:rsid w:val="00E703E4"/>
    <w:rsid w:val="00E7530A"/>
    <w:rsid w:val="00E8785E"/>
    <w:rsid w:val="00EB3767"/>
    <w:rsid w:val="00EB7275"/>
    <w:rsid w:val="00EC4F00"/>
    <w:rsid w:val="00ED1900"/>
    <w:rsid w:val="00EF6BA9"/>
    <w:rsid w:val="00F142EF"/>
    <w:rsid w:val="00F30F0B"/>
    <w:rsid w:val="00F34641"/>
    <w:rsid w:val="00F50C7B"/>
    <w:rsid w:val="00F56118"/>
    <w:rsid w:val="00F62AEB"/>
    <w:rsid w:val="00F72AEF"/>
    <w:rsid w:val="00F83313"/>
    <w:rsid w:val="00F83CEC"/>
    <w:rsid w:val="00F94213"/>
    <w:rsid w:val="00F94FA0"/>
    <w:rsid w:val="00FA43B8"/>
    <w:rsid w:val="00FD32F3"/>
    <w:rsid w:val="00FE1890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77FFE-7E3D-42C5-9474-88CAE07F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5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5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6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6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6592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92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1A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1BA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38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388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5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B50"/>
    <w:rPr>
      <w:sz w:val="22"/>
      <w:szCs w:val="22"/>
    </w:rPr>
  </w:style>
  <w:style w:type="paragraph" w:customStyle="1" w:styleId="default0">
    <w:name w:val="default"/>
    <w:basedOn w:val="Normal"/>
    <w:rsid w:val="0081771B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neglected_diseases/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tt.nih.gov/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research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tt.nih.gov/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helpdesk.worldbank.org/knowledgebase/articles/9065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3110-13A2-48C9-8D76-74D3D05C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5298</Characters>
  <Application>Microsoft Office Word</Application>
  <DocSecurity>2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Rohrbaugh</dc:creator>
  <cp:lastModifiedBy>Ray, Elaine (NIH/OD) [E]</cp:lastModifiedBy>
  <cp:revision>2</cp:revision>
  <cp:lastPrinted>2012-01-13T22:17:00Z</cp:lastPrinted>
  <dcterms:created xsi:type="dcterms:W3CDTF">2017-09-15T20:46:00Z</dcterms:created>
  <dcterms:modified xsi:type="dcterms:W3CDTF">2017-09-15T20:46:00Z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-1803598355</vt:i4>
  </property>
  <property fmtid="{D5CDD505-2E9C-101B-9397-08002B2CF9AE}" pid="4" name="_EmailSubject">
    <vt:lpwstr>Non-Profit Model License summary</vt:lpwstr>
  </property>
  <property fmtid="{D5CDD505-2E9C-101B-9397-08002B2CF9AE}" pid="5" name="_AuthorEmail">
    <vt:lpwstr>harbingb@od.nih.gov</vt:lpwstr>
  </property>
  <property fmtid="{D5CDD505-2E9C-101B-9397-08002B2CF9AE}" pid="6" name="_AuthorEmailDisplayName">
    <vt:lpwstr>Harbinger, Bonny (NIH/OD) [E]</vt:lpwstr>
  </property>
  <property fmtid="{D5CDD505-2E9C-101B-9397-08002B2CF9AE}" pid="7" name="_ReviewingToolsShownOnce">
    <vt:lpwstr/>
  </property>
  <property fmtid="{D5CDD505-2E9C-101B-9397-08002B2CF9AE}" pid="8" name="_MarkAsFinal">
    <vt:bool>true</vt:bool>
  </property>
</Properties>
</file>